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0"/>
        <w:gridCol w:w="3564"/>
      </w:tblGrid>
      <w:tr w:rsidR="00A251F0" w:rsidTr="00A251F0">
        <w:trPr>
          <w:trHeight w:val="576"/>
          <w:jc w:val="center"/>
        </w:trPr>
        <w:tc>
          <w:tcPr>
            <w:tcW w:w="6660" w:type="dxa"/>
            <w:tcBorders>
              <w:top w:val="single" w:sz="18" w:space="0" w:color="1F497D" w:themeColor="text2"/>
              <w:bottom w:val="nil"/>
            </w:tcBorders>
            <w:tcMar>
              <w:left w:w="58" w:type="dxa"/>
              <w:right w:w="58" w:type="dxa"/>
            </w:tcMar>
            <w:vAlign w:val="bottom"/>
          </w:tcPr>
          <w:p w:rsidR="00C13C8E" w:rsidRPr="000C7CBF" w:rsidRDefault="00C13C8E" w:rsidP="00A251F0">
            <w:pPr>
              <w:spacing w:before="300" w:after="20"/>
              <w:jc w:val="center"/>
              <w:rPr>
                <w:rFonts w:asciiTheme="majorHAnsi" w:hAnsiTheme="majorHAnsi"/>
                <w:b/>
                <w:bCs/>
                <w:color w:val="1F497D" w:themeColor="text2"/>
                <w:sz w:val="36"/>
              </w:rPr>
            </w:pPr>
            <w:bookmarkStart w:id="0" w:name="OLE_LINK1"/>
            <w:bookmarkStart w:id="1" w:name="_GoBack"/>
            <w:bookmarkEnd w:id="1"/>
            <w:r w:rsidRPr="002119EB">
              <w:rPr>
                <w:rFonts w:asciiTheme="majorHAnsi" w:hAnsiTheme="majorHAnsi"/>
                <w:b/>
                <w:bCs/>
                <w:color w:val="1F497D" w:themeColor="text2"/>
                <w:sz w:val="40"/>
              </w:rPr>
              <w:t>96 Hour Sustainability Assessment</w:t>
            </w:r>
          </w:p>
        </w:tc>
        <w:tc>
          <w:tcPr>
            <w:tcW w:w="3564" w:type="dxa"/>
            <w:vMerge w:val="restart"/>
            <w:tcMar>
              <w:right w:w="86" w:type="dxa"/>
            </w:tcMar>
            <w:vAlign w:val="center"/>
          </w:tcPr>
          <w:p w:rsidR="00C13C8E" w:rsidRDefault="00065AC6" w:rsidP="00761656">
            <w:pPr>
              <w:spacing w:before="0" w:after="40" w:line="240" w:lineRule="auto"/>
              <w:jc w:val="right"/>
              <w:rPr>
                <w:noProof/>
                <w:lang w:eastAsia="en-US"/>
              </w:rPr>
            </w:pPr>
            <w:r>
              <w:rPr>
                <w:noProof/>
                <w:lang w:eastAsia="en-US"/>
              </w:rPr>
              <w:drawing>
                <wp:inline distT="0" distB="0" distL="0" distR="0">
                  <wp:extent cx="2011680" cy="621792"/>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HA Logo.png"/>
                          <pic:cNvPicPr/>
                        </pic:nvPicPr>
                        <pic:blipFill rotWithShape="1">
                          <a:blip r:embed="rId11" cstate="print">
                            <a:extLst>
                              <a:ext uri="{28A0092B-C50C-407E-A947-70E740481C1C}">
                                <a14:useLocalDpi xmlns:a14="http://schemas.microsoft.com/office/drawing/2010/main" val="0"/>
                              </a:ext>
                            </a:extLst>
                          </a:blip>
                          <a:srcRect r="2582"/>
                          <a:stretch/>
                        </pic:blipFill>
                        <pic:spPr bwMode="auto">
                          <a:xfrm>
                            <a:off x="0" y="0"/>
                            <a:ext cx="2011680" cy="621792"/>
                          </a:xfrm>
                          <a:prstGeom prst="rect">
                            <a:avLst/>
                          </a:prstGeom>
                          <a:ln>
                            <a:noFill/>
                          </a:ln>
                          <a:extLst>
                            <a:ext uri="{53640926-AAD7-44D8-BBD7-CCE9431645EC}">
                              <a14:shadowObscured xmlns:a14="http://schemas.microsoft.com/office/drawing/2010/main"/>
                            </a:ext>
                          </a:extLst>
                        </pic:spPr>
                      </pic:pic>
                    </a:graphicData>
                  </a:graphic>
                </wp:inline>
              </w:drawing>
            </w:r>
          </w:p>
        </w:tc>
      </w:tr>
      <w:tr w:rsidR="000C7CBF" w:rsidTr="00A251F0">
        <w:trPr>
          <w:trHeight w:val="576"/>
          <w:jc w:val="center"/>
        </w:trPr>
        <w:tc>
          <w:tcPr>
            <w:tcW w:w="6660" w:type="dxa"/>
            <w:tcBorders>
              <w:top w:val="nil"/>
              <w:bottom w:val="single" w:sz="18" w:space="0" w:color="365F91" w:themeColor="accent1" w:themeShade="BF"/>
            </w:tcBorders>
            <w:tcMar>
              <w:top w:w="72" w:type="dxa"/>
              <w:left w:w="58" w:type="dxa"/>
              <w:right w:w="58" w:type="dxa"/>
            </w:tcMar>
          </w:tcPr>
          <w:p w:rsidR="00C13C8E" w:rsidRPr="004857D1" w:rsidRDefault="002119EB" w:rsidP="002119EB">
            <w:pPr>
              <w:spacing w:before="20" w:after="240"/>
              <w:jc w:val="center"/>
              <w:rPr>
                <w:rFonts w:asciiTheme="majorHAnsi" w:hAnsiTheme="majorHAnsi"/>
                <w:color w:val="1F497D" w:themeColor="text2"/>
                <w:sz w:val="38"/>
                <w:szCs w:val="38"/>
              </w:rPr>
            </w:pPr>
            <w:r w:rsidRPr="004857D1">
              <w:rPr>
                <w:rFonts w:asciiTheme="majorHAnsi" w:hAnsiTheme="majorHAnsi"/>
                <w:color w:val="1F497D" w:themeColor="text2"/>
                <w:sz w:val="38"/>
                <w:szCs w:val="38"/>
              </w:rPr>
              <w:t xml:space="preserve">Hospital </w:t>
            </w:r>
            <w:r w:rsidR="00C13C8E" w:rsidRPr="004857D1">
              <w:rPr>
                <w:rFonts w:asciiTheme="majorHAnsi" w:hAnsiTheme="majorHAnsi"/>
                <w:color w:val="1F497D" w:themeColor="text2"/>
                <w:sz w:val="38"/>
                <w:szCs w:val="38"/>
              </w:rPr>
              <w:t>Planning Guidance</w:t>
            </w:r>
          </w:p>
        </w:tc>
        <w:tc>
          <w:tcPr>
            <w:tcW w:w="3564" w:type="dxa"/>
            <w:vMerge/>
          </w:tcPr>
          <w:p w:rsidR="00C13C8E" w:rsidRDefault="00C13C8E" w:rsidP="00465846">
            <w:pPr>
              <w:spacing w:before="160"/>
              <w:ind w:right="216"/>
              <w:jc w:val="center"/>
              <w:rPr>
                <w:rFonts w:asciiTheme="majorHAnsi" w:hAnsiTheme="majorHAnsi"/>
                <w:color w:val="632423" w:themeColor="accent2" w:themeShade="80"/>
                <w:sz w:val="36"/>
              </w:rPr>
            </w:pPr>
          </w:p>
        </w:tc>
      </w:tr>
    </w:tbl>
    <w:p w:rsidR="003E75EF" w:rsidRPr="008B6656" w:rsidRDefault="000C7CBF" w:rsidP="008B6656">
      <w:pPr>
        <w:spacing w:before="120" w:line="240" w:lineRule="auto"/>
        <w:ind w:right="144"/>
        <w:jc w:val="right"/>
        <w:rPr>
          <w:i/>
          <w:color w:val="17365D" w:themeColor="text2" w:themeShade="BF"/>
          <w:spacing w:val="4"/>
          <w:sz w:val="25"/>
          <w:szCs w:val="25"/>
        </w:rPr>
      </w:pPr>
      <w:r w:rsidRPr="008B6656">
        <w:rPr>
          <w:i/>
          <w:color w:val="17365D" w:themeColor="text2" w:themeShade="BF"/>
          <w:spacing w:val="4"/>
          <w:sz w:val="25"/>
          <w:szCs w:val="25"/>
        </w:rPr>
        <w:t>Updated June</w:t>
      </w:r>
      <w:r w:rsidR="008B6656" w:rsidRPr="008B6656">
        <w:rPr>
          <w:i/>
          <w:color w:val="17365D" w:themeColor="text2" w:themeShade="BF"/>
          <w:spacing w:val="4"/>
          <w:sz w:val="25"/>
          <w:szCs w:val="25"/>
        </w:rPr>
        <w:t>,</w:t>
      </w:r>
      <w:r w:rsidR="00C95AFE" w:rsidRPr="008B6656">
        <w:rPr>
          <w:i/>
          <w:color w:val="17365D" w:themeColor="text2" w:themeShade="BF"/>
          <w:spacing w:val="4"/>
          <w:sz w:val="25"/>
          <w:szCs w:val="25"/>
        </w:rPr>
        <w:t xml:space="preserve"> 2018</w:t>
      </w:r>
    </w:p>
    <w:p w:rsidR="00C95AFE" w:rsidRPr="008B6656" w:rsidRDefault="00C95AFE" w:rsidP="008B6656">
      <w:pPr>
        <w:pStyle w:val="IntroducationText"/>
        <w:spacing w:line="264" w:lineRule="auto"/>
        <w:ind w:left="144" w:right="144"/>
      </w:pPr>
      <w:r w:rsidRPr="008B6656">
        <w:t>In 2012, Iroquois Healthcare Association and the Healthcare Association of New York State (HANYS) developed guidance and tools to assist hospitals in meeting The Joint Commission's standard relating to 96 Hour Sustainability</w:t>
      </w:r>
      <w:r w:rsidR="008B6656" w:rsidRPr="008B6656">
        <w:t>. The planning framework is</w:t>
      </w:r>
      <w:r w:rsidRPr="008B6656">
        <w:t xml:space="preserve"> based on </w:t>
      </w:r>
      <w:r w:rsidRPr="008B6656">
        <w:rPr>
          <w:i/>
        </w:rPr>
        <w:t>“A Process for Determining Resource and Asset Sustainability During Emergencies”</w:t>
      </w:r>
      <w:r w:rsidRPr="008B6656">
        <w:t xml:space="preserve"> developed by the American Society of Healthcare Engineers (ASHE). Hospitals in New York State wer</w:t>
      </w:r>
      <w:r w:rsidR="008B6656" w:rsidRPr="008B6656">
        <w:t xml:space="preserve">e reimbursed for conducting an assessment as part of the </w:t>
      </w:r>
      <w:r w:rsidRPr="008B6656">
        <w:t xml:space="preserve">2012-13 HPP contract. Based on </w:t>
      </w:r>
      <w:r w:rsidR="008B6656" w:rsidRPr="008B6656">
        <w:t>assessment experience</w:t>
      </w:r>
      <w:r w:rsidR="00C8005C" w:rsidRPr="008B6656">
        <w:t xml:space="preserve"> </w:t>
      </w:r>
      <w:r w:rsidRPr="008B6656">
        <w:t>and review of additional practices and resources, Iroquois has updated and supplemented the guidance and tools.</w:t>
      </w:r>
    </w:p>
    <w:bookmarkStart w:id="2" w:name="_Toc515545323" w:displacedByCustomXml="next"/>
    <w:sdt>
      <w:sdtPr>
        <w:rPr>
          <w:rFonts w:asciiTheme="minorHAnsi" w:eastAsiaTheme="minorEastAsia" w:hAnsiTheme="minorHAnsi" w:cstheme="minorBidi"/>
          <w:b/>
          <w:bCs w:val="0"/>
          <w:i/>
          <w:color w:val="000000" w:themeColor="text1"/>
          <w:spacing w:val="0"/>
          <w:sz w:val="22"/>
          <w:szCs w:val="22"/>
          <w14:textFill>
            <w14:solidFill>
              <w14:schemeClr w14:val="tx1">
                <w14:lumMod w14:val="20000"/>
                <w14:lumOff w14:val="80000"/>
                <w14:lumMod w14:val="95000"/>
              </w14:schemeClr>
            </w14:solidFill>
          </w14:textFill>
        </w:rPr>
        <w:id w:val="-1979904921"/>
        <w:docPartObj>
          <w:docPartGallery w:val="Table of Contents"/>
          <w:docPartUnique/>
        </w:docPartObj>
      </w:sdtPr>
      <w:sdtEndPr>
        <w:rPr>
          <w:b w:val="0"/>
          <w:i w:val="0"/>
          <w:noProof/>
          <w:color w:val="333F50"/>
          <w:szCs w:val="26"/>
          <w14:textFill>
            <w14:solidFill>
              <w14:srgbClr w14:val="333F50">
                <w14:lumMod w14:val="20000"/>
                <w14:lumOff w14:val="80000"/>
                <w14:lumMod w14:val="95000"/>
              </w14:srgbClr>
            </w14:solidFill>
          </w14:textFill>
        </w:rPr>
      </w:sdtEndPr>
      <w:sdtContent>
        <w:p w:rsidR="001A66E1" w:rsidRPr="008B6656" w:rsidRDefault="00E37C9B" w:rsidP="008B6656">
          <w:pPr>
            <w:pStyle w:val="TOCHeading"/>
            <w:pBdr>
              <w:top w:val="none" w:sz="0" w:space="0" w:color="auto"/>
              <w:bottom w:val="single" w:sz="2" w:space="3" w:color="BFBFBF" w:themeColor="background1" w:themeShade="BF"/>
            </w:pBdr>
            <w:shd w:val="clear" w:color="auto" w:fill="auto"/>
            <w:spacing w:before="200" w:after="120"/>
            <w:ind w:left="144" w:right="144" w:firstLine="0"/>
            <w:outlineLvl w:val="2"/>
            <w:rPr>
              <w:b/>
              <w:color w:val="000000" w:themeColor="text1"/>
              <w:sz w:val="25"/>
              <w:szCs w:val="25"/>
              <w14:textFill>
                <w14:solidFill>
                  <w14:schemeClr w14:val="tx1">
                    <w14:lumMod w14:val="85000"/>
                    <w14:lumOff w14:val="15000"/>
                    <w14:lumMod w14:val="20000"/>
                    <w14:lumOff w14:val="80000"/>
                    <w14:lumMod w14:val="95000"/>
                  </w14:schemeClr>
                </w14:solidFill>
              </w14:textFill>
            </w:rPr>
          </w:pPr>
          <w:r w:rsidRPr="0079158F">
            <w:rPr>
              <w:b/>
              <w:i/>
              <w:color w:val="000000" w:themeColor="text1"/>
              <w:sz w:val="26"/>
              <w14:textFill>
                <w14:solidFill>
                  <w14:schemeClr w14:val="tx1">
                    <w14:lumMod w14:val="20000"/>
                    <w14:lumOff w14:val="80000"/>
                    <w14:lumMod w14:val="95000"/>
                  </w14:schemeClr>
                </w14:solidFill>
              </w14:textFill>
            </w:rPr>
            <w:t>Contents</w:t>
          </w:r>
          <w:bookmarkEnd w:id="2"/>
          <w:r w:rsidRPr="008B6656">
            <w:rPr>
              <w:b/>
              <w:color w:val="333F50"/>
              <w:sz w:val="24"/>
              <w:szCs w:val="24"/>
              <w14:textFill>
                <w14:solidFill>
                  <w14:srgbClr w14:val="333F50">
                    <w14:lumMod w14:val="20000"/>
                    <w14:lumOff w14:val="80000"/>
                    <w14:lumMod w14:val="95000"/>
                  </w14:srgbClr>
                </w14:solidFill>
              </w14:textFill>
            </w:rPr>
            <w:fldChar w:fldCharType="begin"/>
          </w:r>
          <w:r w:rsidRPr="008B6656">
            <w:rPr>
              <w:color w:val="333F50"/>
              <w:sz w:val="24"/>
              <w:szCs w:val="24"/>
              <w14:textFill>
                <w14:solidFill>
                  <w14:srgbClr w14:val="333F50">
                    <w14:lumMod w14:val="20000"/>
                    <w14:lumOff w14:val="80000"/>
                    <w14:lumMod w14:val="95000"/>
                  </w14:srgbClr>
                </w14:solidFill>
              </w14:textFill>
            </w:rPr>
            <w:instrText xml:space="preserve"> TOC \o "1-3" \h \z \u </w:instrText>
          </w:r>
          <w:r w:rsidRPr="008B6656">
            <w:rPr>
              <w:b/>
              <w:color w:val="333F50"/>
              <w:sz w:val="24"/>
              <w:szCs w:val="24"/>
              <w14:textFill>
                <w14:solidFill>
                  <w14:srgbClr w14:val="333F50">
                    <w14:lumMod w14:val="20000"/>
                    <w14:lumOff w14:val="80000"/>
                    <w14:lumMod w14:val="95000"/>
                  </w14:srgbClr>
                </w14:solidFill>
              </w14:textFill>
            </w:rPr>
            <w:fldChar w:fldCharType="separate"/>
          </w:r>
        </w:p>
        <w:p w:rsidR="001A66E1" w:rsidRPr="008B6656" w:rsidRDefault="00722F55" w:rsidP="008B6656">
          <w:pPr>
            <w:pStyle w:val="TOC1"/>
            <w:spacing w:before="0"/>
            <w:rPr>
              <w:rFonts w:asciiTheme="majorHAnsi" w:hAnsiTheme="majorHAnsi"/>
              <w:color w:val="262626" w:themeColor="text1" w:themeTint="D9"/>
              <w:sz w:val="25"/>
              <w:szCs w:val="25"/>
              <w:lang w:eastAsia="en-US"/>
            </w:rPr>
          </w:pPr>
          <w:hyperlink w:anchor="_Toc515545324" w:history="1">
            <w:r w:rsidR="001A66E1" w:rsidRPr="008B6656">
              <w:rPr>
                <w:rStyle w:val="Hyperlink"/>
                <w:rFonts w:asciiTheme="majorHAnsi" w:hAnsiTheme="majorHAnsi"/>
                <w:color w:val="262626" w:themeColor="text1" w:themeTint="D9"/>
                <w:sz w:val="25"/>
                <w:szCs w:val="25"/>
              </w:rPr>
              <w:t>Introduction</w:t>
            </w:r>
            <w:r w:rsidR="001A66E1" w:rsidRPr="008B6656">
              <w:rPr>
                <w:rFonts w:asciiTheme="majorHAnsi" w:hAnsiTheme="majorHAnsi"/>
                <w:webHidden/>
                <w:color w:val="262626" w:themeColor="text1" w:themeTint="D9"/>
                <w:sz w:val="25"/>
                <w:szCs w:val="25"/>
              </w:rPr>
              <w:tab/>
            </w:r>
            <w:r w:rsidR="001A66E1" w:rsidRPr="008B6656">
              <w:rPr>
                <w:rFonts w:asciiTheme="majorHAnsi" w:hAnsiTheme="majorHAnsi"/>
                <w:webHidden/>
                <w:color w:val="262626" w:themeColor="text1" w:themeTint="D9"/>
                <w:sz w:val="25"/>
                <w:szCs w:val="25"/>
              </w:rPr>
              <w:fldChar w:fldCharType="begin"/>
            </w:r>
            <w:r w:rsidR="001A66E1" w:rsidRPr="008B6656">
              <w:rPr>
                <w:rFonts w:asciiTheme="majorHAnsi" w:hAnsiTheme="majorHAnsi"/>
                <w:webHidden/>
                <w:color w:val="262626" w:themeColor="text1" w:themeTint="D9"/>
                <w:sz w:val="25"/>
                <w:szCs w:val="25"/>
              </w:rPr>
              <w:instrText xml:space="preserve"> PAGEREF _Toc515545324 \h </w:instrText>
            </w:r>
            <w:r w:rsidR="001A66E1" w:rsidRPr="008B6656">
              <w:rPr>
                <w:rFonts w:asciiTheme="majorHAnsi" w:hAnsiTheme="majorHAnsi"/>
                <w:webHidden/>
                <w:color w:val="262626" w:themeColor="text1" w:themeTint="D9"/>
                <w:sz w:val="25"/>
                <w:szCs w:val="25"/>
              </w:rPr>
            </w:r>
            <w:r w:rsidR="001A66E1" w:rsidRPr="008B6656">
              <w:rPr>
                <w:rFonts w:asciiTheme="majorHAnsi" w:hAnsiTheme="majorHAnsi"/>
                <w:webHidden/>
                <w:color w:val="262626" w:themeColor="text1" w:themeTint="D9"/>
                <w:sz w:val="25"/>
                <w:szCs w:val="25"/>
              </w:rPr>
              <w:fldChar w:fldCharType="separate"/>
            </w:r>
            <w:r w:rsidR="006F42CD" w:rsidRPr="008B6656">
              <w:rPr>
                <w:rFonts w:asciiTheme="majorHAnsi" w:hAnsiTheme="majorHAnsi"/>
                <w:webHidden/>
                <w:color w:val="262626" w:themeColor="text1" w:themeTint="D9"/>
                <w:sz w:val="25"/>
                <w:szCs w:val="25"/>
              </w:rPr>
              <w:t>2</w:t>
            </w:r>
            <w:r w:rsidR="001A66E1" w:rsidRPr="008B6656">
              <w:rPr>
                <w:rFonts w:asciiTheme="majorHAnsi" w:hAnsiTheme="majorHAnsi"/>
                <w:webHidden/>
                <w:color w:val="262626" w:themeColor="text1" w:themeTint="D9"/>
                <w:sz w:val="25"/>
                <w:szCs w:val="25"/>
              </w:rPr>
              <w:fldChar w:fldCharType="end"/>
            </w:r>
          </w:hyperlink>
        </w:p>
        <w:p w:rsidR="001A66E1" w:rsidRPr="008B6656" w:rsidRDefault="00722F55" w:rsidP="008B6656">
          <w:pPr>
            <w:pStyle w:val="TOC1"/>
            <w:spacing w:before="0"/>
            <w:rPr>
              <w:rFonts w:asciiTheme="majorHAnsi" w:hAnsiTheme="majorHAnsi"/>
              <w:color w:val="262626" w:themeColor="text1" w:themeTint="D9"/>
              <w:sz w:val="25"/>
              <w:szCs w:val="25"/>
              <w:lang w:eastAsia="en-US"/>
            </w:rPr>
          </w:pPr>
          <w:hyperlink w:anchor="_Toc515545325" w:history="1">
            <w:r w:rsidR="001A66E1" w:rsidRPr="008B6656">
              <w:rPr>
                <w:rStyle w:val="Hyperlink"/>
                <w:rFonts w:asciiTheme="majorHAnsi" w:hAnsiTheme="majorHAnsi"/>
                <w:color w:val="262626" w:themeColor="text1" w:themeTint="D9"/>
                <w:sz w:val="25"/>
                <w:szCs w:val="25"/>
              </w:rPr>
              <w:t>Preparing to Conduct a 96 Hour Sustainability Assessment</w:t>
            </w:r>
            <w:r w:rsidR="001A66E1" w:rsidRPr="008B6656">
              <w:rPr>
                <w:rFonts w:asciiTheme="majorHAnsi" w:hAnsiTheme="majorHAnsi"/>
                <w:webHidden/>
                <w:color w:val="262626" w:themeColor="text1" w:themeTint="D9"/>
                <w:sz w:val="25"/>
                <w:szCs w:val="25"/>
              </w:rPr>
              <w:tab/>
            </w:r>
            <w:r w:rsidR="001A66E1" w:rsidRPr="008B6656">
              <w:rPr>
                <w:rFonts w:asciiTheme="majorHAnsi" w:hAnsiTheme="majorHAnsi"/>
                <w:webHidden/>
                <w:color w:val="262626" w:themeColor="text1" w:themeTint="D9"/>
                <w:sz w:val="25"/>
                <w:szCs w:val="25"/>
              </w:rPr>
              <w:fldChar w:fldCharType="begin"/>
            </w:r>
            <w:r w:rsidR="001A66E1" w:rsidRPr="008B6656">
              <w:rPr>
                <w:rFonts w:asciiTheme="majorHAnsi" w:hAnsiTheme="majorHAnsi"/>
                <w:webHidden/>
                <w:color w:val="262626" w:themeColor="text1" w:themeTint="D9"/>
                <w:sz w:val="25"/>
                <w:szCs w:val="25"/>
              </w:rPr>
              <w:instrText xml:space="preserve"> PAGEREF _Toc515545325 \h </w:instrText>
            </w:r>
            <w:r w:rsidR="001A66E1" w:rsidRPr="008B6656">
              <w:rPr>
                <w:rFonts w:asciiTheme="majorHAnsi" w:hAnsiTheme="majorHAnsi"/>
                <w:webHidden/>
                <w:color w:val="262626" w:themeColor="text1" w:themeTint="D9"/>
                <w:sz w:val="25"/>
                <w:szCs w:val="25"/>
              </w:rPr>
            </w:r>
            <w:r w:rsidR="001A66E1" w:rsidRPr="008B6656">
              <w:rPr>
                <w:rFonts w:asciiTheme="majorHAnsi" w:hAnsiTheme="majorHAnsi"/>
                <w:webHidden/>
                <w:color w:val="262626" w:themeColor="text1" w:themeTint="D9"/>
                <w:sz w:val="25"/>
                <w:szCs w:val="25"/>
              </w:rPr>
              <w:fldChar w:fldCharType="separate"/>
            </w:r>
            <w:r w:rsidR="006F42CD" w:rsidRPr="008B6656">
              <w:rPr>
                <w:rFonts w:asciiTheme="majorHAnsi" w:hAnsiTheme="majorHAnsi"/>
                <w:webHidden/>
                <w:color w:val="262626" w:themeColor="text1" w:themeTint="D9"/>
                <w:sz w:val="25"/>
                <w:szCs w:val="25"/>
              </w:rPr>
              <w:t>3</w:t>
            </w:r>
            <w:r w:rsidR="001A66E1" w:rsidRPr="008B6656">
              <w:rPr>
                <w:rFonts w:asciiTheme="majorHAnsi" w:hAnsiTheme="majorHAnsi"/>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26"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1.</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Identify Assessment Team</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_Toc515545326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3</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32"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2.</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Determine Planning Scenario &amp; Assumptions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_Toc515545332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3</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35"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3.</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Identify Essential Resources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_Toc515545335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4</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44"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4.</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Assemble Data</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_Toc515545344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4</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48"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5.</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Identify Dependent Systems and Mitigation Strategies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_Toc515545348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5</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1"/>
            <w:spacing w:before="0"/>
            <w:rPr>
              <w:rFonts w:asciiTheme="majorHAnsi" w:hAnsiTheme="majorHAnsi"/>
              <w:color w:val="262626" w:themeColor="text1" w:themeTint="D9"/>
              <w:sz w:val="25"/>
              <w:szCs w:val="25"/>
              <w:lang w:eastAsia="en-US"/>
            </w:rPr>
          </w:pPr>
          <w:hyperlink w:anchor="_Toc515545352" w:history="1">
            <w:r w:rsidR="001A66E1" w:rsidRPr="008B6656">
              <w:rPr>
                <w:rStyle w:val="Hyperlink"/>
                <w:rFonts w:asciiTheme="majorHAnsi" w:hAnsiTheme="majorHAnsi"/>
                <w:color w:val="262626" w:themeColor="text1" w:themeTint="D9"/>
                <w:sz w:val="25"/>
                <w:szCs w:val="25"/>
              </w:rPr>
              <w:t>Conducting a 96 Hour Sustainability Assessment</w:t>
            </w:r>
            <w:r w:rsidR="001A66E1" w:rsidRPr="008B6656">
              <w:rPr>
                <w:rFonts w:asciiTheme="majorHAnsi" w:hAnsiTheme="majorHAnsi"/>
                <w:webHidden/>
                <w:color w:val="262626" w:themeColor="text1" w:themeTint="D9"/>
                <w:sz w:val="25"/>
                <w:szCs w:val="25"/>
              </w:rPr>
              <w:tab/>
            </w:r>
            <w:r w:rsidR="001A66E1" w:rsidRPr="008B6656">
              <w:rPr>
                <w:rFonts w:asciiTheme="majorHAnsi" w:hAnsiTheme="majorHAnsi"/>
                <w:webHidden/>
                <w:color w:val="262626" w:themeColor="text1" w:themeTint="D9"/>
                <w:sz w:val="25"/>
                <w:szCs w:val="25"/>
              </w:rPr>
              <w:fldChar w:fldCharType="begin"/>
            </w:r>
            <w:r w:rsidR="001A66E1" w:rsidRPr="008B6656">
              <w:rPr>
                <w:rFonts w:asciiTheme="majorHAnsi" w:hAnsiTheme="majorHAnsi"/>
                <w:webHidden/>
                <w:color w:val="262626" w:themeColor="text1" w:themeTint="D9"/>
                <w:sz w:val="25"/>
                <w:szCs w:val="25"/>
              </w:rPr>
              <w:instrText xml:space="preserve"> PAGEREF _Toc515545352 \h </w:instrText>
            </w:r>
            <w:r w:rsidR="001A66E1" w:rsidRPr="008B6656">
              <w:rPr>
                <w:rFonts w:asciiTheme="majorHAnsi" w:hAnsiTheme="majorHAnsi"/>
                <w:webHidden/>
                <w:color w:val="262626" w:themeColor="text1" w:themeTint="D9"/>
                <w:sz w:val="25"/>
                <w:szCs w:val="25"/>
              </w:rPr>
            </w:r>
            <w:r w:rsidR="001A66E1" w:rsidRPr="008B6656">
              <w:rPr>
                <w:rFonts w:asciiTheme="majorHAnsi" w:hAnsiTheme="majorHAnsi"/>
                <w:webHidden/>
                <w:color w:val="262626" w:themeColor="text1" w:themeTint="D9"/>
                <w:sz w:val="25"/>
                <w:szCs w:val="25"/>
              </w:rPr>
              <w:fldChar w:fldCharType="separate"/>
            </w:r>
            <w:r w:rsidR="006F42CD" w:rsidRPr="008B6656">
              <w:rPr>
                <w:rFonts w:asciiTheme="majorHAnsi" w:hAnsiTheme="majorHAnsi"/>
                <w:webHidden/>
                <w:color w:val="262626" w:themeColor="text1" w:themeTint="D9"/>
                <w:sz w:val="25"/>
                <w:szCs w:val="25"/>
              </w:rPr>
              <w:t>5</w:t>
            </w:r>
            <w:r w:rsidR="001A66E1" w:rsidRPr="008B6656">
              <w:rPr>
                <w:rFonts w:asciiTheme="majorHAnsi" w:hAnsiTheme="majorHAnsi"/>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53"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1.</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Establish Planning Assumptions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_Toc515545353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5</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56"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2.</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Determine the resources essential to the facility's operation.</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_Toc515545356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6</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58"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3.</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Determine the Sustainability Period of Essential Resources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_Toc515545358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6</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62"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4.</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Color Code 96 Hour Operational Impact Chart</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_Toc515545362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6</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64" w:history="1">
            <w:r w:rsidR="001A66E1" w:rsidRPr="008B6656">
              <w:rPr>
                <w:rStyle w:val="Hyperlink"/>
                <w:rFonts w:asciiTheme="majorHAnsi" w:hAnsiTheme="majorHAnsi"/>
                <w:noProof/>
                <w:color w:val="262626" w:themeColor="text1" w:themeTint="D9"/>
                <w:sz w:val="25"/>
                <w:szCs w:val="25"/>
                <w14:scene3d>
                  <w14:camera w14:prst="orthographicFront"/>
                  <w14:lightRig w14:rig="threePt" w14:dir="t">
                    <w14:rot w14:lat="0" w14:lon="0" w14:rev="0"/>
                  </w14:lightRig>
                </w14:scene3d>
              </w:rPr>
              <w:t>5.</w:t>
            </w:r>
            <w:r w:rsidR="001A66E1" w:rsidRPr="008B6656">
              <w:rPr>
                <w:rFonts w:asciiTheme="majorHAnsi" w:hAnsiTheme="majorHAnsi"/>
                <w:noProof/>
                <w:color w:val="262626" w:themeColor="text1" w:themeTint="D9"/>
                <w:sz w:val="25"/>
                <w:szCs w:val="25"/>
                <w:lang w:eastAsia="en-US"/>
              </w:rPr>
              <w:tab/>
            </w:r>
            <w:r w:rsidR="003444FE" w:rsidRPr="008B6656">
              <w:rPr>
                <w:rFonts w:asciiTheme="majorHAnsi" w:hAnsiTheme="majorHAnsi"/>
                <w:noProof/>
                <w:color w:val="262626" w:themeColor="text1" w:themeTint="D9"/>
                <w:sz w:val="25"/>
                <w:szCs w:val="25"/>
                <w:lang w:eastAsia="en-US"/>
              </w:rPr>
              <w:tab/>
            </w:r>
            <w:r w:rsidR="001A66E1" w:rsidRPr="008B6656">
              <w:rPr>
                <w:rStyle w:val="Hyperlink"/>
                <w:rFonts w:asciiTheme="majorHAnsi" w:hAnsiTheme="majorHAnsi"/>
                <w:noProof/>
                <w:color w:val="262626" w:themeColor="text1" w:themeTint="D9"/>
                <w:sz w:val="25"/>
                <w:szCs w:val="25"/>
              </w:rPr>
              <w:t>Identify Sustainability Gaps &amp; Mitigation Strategies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_Toc515545364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1"/>
            <w:spacing w:before="0"/>
            <w:rPr>
              <w:rFonts w:asciiTheme="majorHAnsi" w:hAnsiTheme="majorHAnsi"/>
              <w:color w:val="262626" w:themeColor="text1" w:themeTint="D9"/>
              <w:sz w:val="25"/>
              <w:szCs w:val="25"/>
              <w:lang w:eastAsia="en-US"/>
            </w:rPr>
          </w:pPr>
          <w:hyperlink w:anchor="_Toc515545368" w:history="1">
            <w:r w:rsidR="001A66E1" w:rsidRPr="008B6656">
              <w:rPr>
                <w:rStyle w:val="Hyperlink"/>
                <w:rFonts w:asciiTheme="majorHAnsi" w:hAnsiTheme="majorHAnsi"/>
                <w:color w:val="262626" w:themeColor="text1" w:themeTint="D9"/>
                <w:sz w:val="25"/>
                <w:szCs w:val="25"/>
              </w:rPr>
              <w:t>Appendix</w:t>
            </w:r>
            <w:r w:rsidR="001A66E1" w:rsidRPr="008B6656">
              <w:rPr>
                <w:rStyle w:val="Hyperlink"/>
                <w:rFonts w:asciiTheme="majorHAnsi" w:hAnsiTheme="majorHAnsi"/>
                <w:b w:val="0"/>
                <w:color w:val="262626" w:themeColor="text1" w:themeTint="D9"/>
                <w:sz w:val="25"/>
                <w:szCs w:val="25"/>
              </w:rPr>
              <w:t>:</w:t>
            </w:r>
            <w:r w:rsidR="001A66E1" w:rsidRPr="008B6656">
              <w:rPr>
                <w:rFonts w:asciiTheme="majorHAnsi" w:hAnsiTheme="majorHAnsi"/>
                <w:webHidden/>
                <w:color w:val="262626" w:themeColor="text1" w:themeTint="D9"/>
                <w:sz w:val="25"/>
                <w:szCs w:val="25"/>
              </w:rPr>
              <w:tab/>
            </w:r>
            <w:r w:rsidR="001A66E1" w:rsidRPr="008B6656">
              <w:rPr>
                <w:rFonts w:asciiTheme="majorHAnsi" w:hAnsiTheme="majorHAnsi"/>
                <w:webHidden/>
                <w:color w:val="262626" w:themeColor="text1" w:themeTint="D9"/>
                <w:sz w:val="25"/>
                <w:szCs w:val="25"/>
              </w:rPr>
              <w:fldChar w:fldCharType="begin"/>
            </w:r>
            <w:r w:rsidR="001A66E1" w:rsidRPr="008B6656">
              <w:rPr>
                <w:rFonts w:asciiTheme="majorHAnsi" w:hAnsiTheme="majorHAnsi"/>
                <w:webHidden/>
                <w:color w:val="262626" w:themeColor="text1" w:themeTint="D9"/>
                <w:sz w:val="25"/>
                <w:szCs w:val="25"/>
              </w:rPr>
              <w:instrText xml:space="preserve"> PAGEREF _Toc515545368 \h </w:instrText>
            </w:r>
            <w:r w:rsidR="001A66E1" w:rsidRPr="008B6656">
              <w:rPr>
                <w:rFonts w:asciiTheme="majorHAnsi" w:hAnsiTheme="majorHAnsi"/>
                <w:webHidden/>
                <w:color w:val="262626" w:themeColor="text1" w:themeTint="D9"/>
                <w:sz w:val="25"/>
                <w:szCs w:val="25"/>
              </w:rPr>
            </w:r>
            <w:r w:rsidR="001A66E1" w:rsidRPr="008B6656">
              <w:rPr>
                <w:rFonts w:asciiTheme="majorHAnsi" w:hAnsiTheme="majorHAnsi"/>
                <w:webHidden/>
                <w:color w:val="262626" w:themeColor="text1" w:themeTint="D9"/>
                <w:sz w:val="25"/>
                <w:szCs w:val="25"/>
              </w:rPr>
              <w:fldChar w:fldCharType="separate"/>
            </w:r>
            <w:r w:rsidR="006F42CD" w:rsidRPr="008B6656">
              <w:rPr>
                <w:rFonts w:asciiTheme="majorHAnsi" w:hAnsiTheme="majorHAnsi"/>
                <w:webHidden/>
                <w:color w:val="262626" w:themeColor="text1" w:themeTint="D9"/>
                <w:sz w:val="25"/>
                <w:szCs w:val="25"/>
              </w:rPr>
              <w:t>7</w:t>
            </w:r>
            <w:r w:rsidR="001A66E1" w:rsidRPr="008B6656">
              <w:rPr>
                <w:rFonts w:asciiTheme="majorHAnsi" w:hAnsiTheme="majorHAnsi"/>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69" w:history="1">
            <w:r w:rsidR="001A66E1" w:rsidRPr="008B6656">
              <w:rPr>
                <w:rStyle w:val="Hyperlink"/>
                <w:rFonts w:asciiTheme="majorHAnsi" w:hAnsiTheme="majorHAnsi"/>
                <w:b/>
                <w:i/>
                <w:noProof/>
                <w:color w:val="262626" w:themeColor="text1" w:themeTint="D9"/>
                <w:sz w:val="25"/>
                <w:szCs w:val="25"/>
              </w:rPr>
              <w:t>96 Hour Sustainability Assessment Tools &amp; Documents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_Toc515545369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3"/>
            <w:spacing w:line="276" w:lineRule="auto"/>
            <w:ind w:left="432" w:right="144" w:firstLine="288"/>
            <w:rPr>
              <w:rFonts w:asciiTheme="majorHAnsi" w:hAnsiTheme="majorHAnsi"/>
              <w:noProof/>
              <w:color w:val="262626" w:themeColor="text1" w:themeTint="D9"/>
              <w:sz w:val="25"/>
              <w:szCs w:val="25"/>
              <w:lang w:eastAsia="en-US"/>
            </w:rPr>
          </w:pPr>
          <w:hyperlink w:anchor="_Toc515545370" w:history="1">
            <w:r w:rsidR="001A66E1" w:rsidRPr="008B6656">
              <w:rPr>
                <w:rStyle w:val="Hyperlink"/>
                <w:rFonts w:asciiTheme="majorHAnsi" w:hAnsiTheme="majorHAnsi"/>
                <w:noProof/>
                <w:color w:val="262626" w:themeColor="text1" w:themeTint="D9"/>
                <w:sz w:val="25"/>
                <w:szCs w:val="25"/>
              </w:rPr>
              <w:t>96 Hour Operational Impact Chart</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_Toc515545370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3"/>
            <w:spacing w:line="276" w:lineRule="auto"/>
            <w:ind w:left="432" w:right="144" w:firstLine="288"/>
            <w:rPr>
              <w:rFonts w:asciiTheme="majorHAnsi" w:hAnsiTheme="majorHAnsi"/>
              <w:noProof/>
              <w:color w:val="262626" w:themeColor="text1" w:themeTint="D9"/>
              <w:sz w:val="25"/>
              <w:szCs w:val="25"/>
              <w:lang w:eastAsia="en-US"/>
            </w:rPr>
          </w:pPr>
          <w:hyperlink w:anchor="_Toc515545371" w:history="1">
            <w:r w:rsidR="001A66E1" w:rsidRPr="008B6656">
              <w:rPr>
                <w:rStyle w:val="Hyperlink"/>
                <w:rFonts w:asciiTheme="majorHAnsi" w:hAnsiTheme="majorHAnsi"/>
                <w:noProof/>
                <w:color w:val="262626" w:themeColor="text1" w:themeTint="D9"/>
                <w:sz w:val="25"/>
                <w:szCs w:val="25"/>
              </w:rPr>
              <w:t>96 Hour Inventory Sustainability Period Calculator</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_Toc515545371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3"/>
            <w:spacing w:line="276" w:lineRule="auto"/>
            <w:ind w:left="432" w:right="144" w:firstLine="288"/>
            <w:rPr>
              <w:rFonts w:asciiTheme="majorHAnsi" w:hAnsiTheme="majorHAnsi"/>
              <w:noProof/>
              <w:color w:val="262626" w:themeColor="text1" w:themeTint="D9"/>
              <w:sz w:val="25"/>
              <w:szCs w:val="25"/>
              <w:lang w:eastAsia="en-US"/>
            </w:rPr>
          </w:pPr>
          <w:hyperlink w:anchor="_Toc515545372" w:history="1">
            <w:r w:rsidR="001A66E1" w:rsidRPr="008B6656">
              <w:rPr>
                <w:rStyle w:val="Hyperlink"/>
                <w:rFonts w:asciiTheme="majorHAnsi" w:hAnsiTheme="majorHAnsi"/>
                <w:noProof/>
                <w:color w:val="262626" w:themeColor="text1" w:themeTint="D9"/>
                <w:sz w:val="25"/>
                <w:szCs w:val="25"/>
              </w:rPr>
              <w:t>A Process for Determining Resource and Asset Sustainability During Emergencies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_Toc515545372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3"/>
            <w:spacing w:line="276" w:lineRule="auto"/>
            <w:ind w:left="432" w:right="144" w:firstLine="288"/>
            <w:rPr>
              <w:rFonts w:asciiTheme="majorHAnsi" w:hAnsiTheme="majorHAnsi"/>
              <w:noProof/>
              <w:color w:val="262626" w:themeColor="text1" w:themeTint="D9"/>
              <w:sz w:val="25"/>
              <w:szCs w:val="25"/>
              <w:lang w:eastAsia="en-US"/>
            </w:rPr>
          </w:pPr>
          <w:hyperlink w:anchor="_Toc515545373" w:history="1">
            <w:r w:rsidR="001A66E1" w:rsidRPr="008B6656">
              <w:rPr>
                <w:rStyle w:val="Hyperlink"/>
                <w:rFonts w:asciiTheme="majorHAnsi" w:hAnsiTheme="majorHAnsi"/>
                <w:noProof/>
                <w:color w:val="262626" w:themeColor="text1" w:themeTint="D9"/>
                <w:sz w:val="25"/>
                <w:szCs w:val="25"/>
              </w:rPr>
              <w:t>System Failures Chart: Guidance for Incident Command</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_Toc515545373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3"/>
            <w:spacing w:line="276" w:lineRule="auto"/>
            <w:ind w:left="432" w:right="144" w:firstLine="288"/>
            <w:rPr>
              <w:rFonts w:asciiTheme="majorHAnsi" w:hAnsiTheme="majorHAnsi"/>
              <w:noProof/>
              <w:color w:val="262626" w:themeColor="text1" w:themeTint="D9"/>
              <w:sz w:val="25"/>
              <w:szCs w:val="25"/>
              <w:lang w:eastAsia="en-US"/>
            </w:rPr>
          </w:pPr>
          <w:hyperlink w:anchor="_Toc515545374" w:history="1">
            <w:r w:rsidR="001A66E1" w:rsidRPr="008B6656">
              <w:rPr>
                <w:rStyle w:val="Hyperlink"/>
                <w:rFonts w:asciiTheme="majorHAnsi" w:hAnsiTheme="majorHAnsi"/>
                <w:noProof/>
                <w:color w:val="262626" w:themeColor="text1" w:themeTint="D9"/>
                <w:sz w:val="25"/>
                <w:szCs w:val="25"/>
              </w:rPr>
              <w:t>Critical Resources &amp; Assets Table: Strategies for Extension</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_Toc515545374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2"/>
            <w:spacing w:line="276" w:lineRule="auto"/>
            <w:rPr>
              <w:rFonts w:asciiTheme="majorHAnsi" w:hAnsiTheme="majorHAnsi"/>
              <w:noProof/>
              <w:color w:val="262626" w:themeColor="text1" w:themeTint="D9"/>
              <w:sz w:val="25"/>
              <w:szCs w:val="25"/>
              <w:lang w:eastAsia="en-US"/>
            </w:rPr>
          </w:pPr>
          <w:hyperlink w:anchor="_Toc515545375" w:history="1">
            <w:r w:rsidR="001A66E1" w:rsidRPr="008B6656">
              <w:rPr>
                <w:rStyle w:val="Hyperlink"/>
                <w:rFonts w:asciiTheme="majorHAnsi" w:hAnsiTheme="majorHAnsi"/>
                <w:i/>
                <w:noProof/>
                <w:color w:val="262626" w:themeColor="text1" w:themeTint="D9"/>
                <w:sz w:val="25"/>
                <w:szCs w:val="25"/>
              </w:rPr>
              <w:t>Additional Resources</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_Toc515545375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3"/>
            <w:spacing w:line="276" w:lineRule="auto"/>
            <w:ind w:left="432" w:right="144" w:firstLine="288"/>
            <w:rPr>
              <w:rFonts w:asciiTheme="majorHAnsi" w:hAnsiTheme="majorHAnsi"/>
              <w:noProof/>
              <w:color w:val="262626" w:themeColor="text1" w:themeTint="D9"/>
              <w:sz w:val="25"/>
              <w:szCs w:val="25"/>
              <w:lang w:eastAsia="en-US"/>
            </w:rPr>
          </w:pPr>
          <w:hyperlink w:anchor="_Toc515545376" w:history="1">
            <w:r w:rsidR="001A66E1" w:rsidRPr="008B6656">
              <w:rPr>
                <w:rStyle w:val="Hyperlink"/>
                <w:rFonts w:asciiTheme="majorHAnsi" w:hAnsiTheme="majorHAnsi"/>
                <w:noProof/>
                <w:color w:val="262626" w:themeColor="text1" w:themeTint="D9"/>
                <w:sz w:val="25"/>
                <w:szCs w:val="25"/>
              </w:rPr>
              <w:t>Supply Chain Disaster Preparedness Manual</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_Toc515545376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1A66E1" w:rsidRPr="008B6656" w:rsidRDefault="00722F55" w:rsidP="008B6656">
          <w:pPr>
            <w:pStyle w:val="TOC3"/>
            <w:spacing w:line="276" w:lineRule="auto"/>
            <w:ind w:left="432" w:right="144" w:firstLine="288"/>
            <w:rPr>
              <w:rFonts w:asciiTheme="majorHAnsi" w:hAnsiTheme="majorHAnsi"/>
              <w:noProof/>
              <w:color w:val="auto"/>
              <w:sz w:val="24"/>
              <w:szCs w:val="24"/>
              <w:lang w:eastAsia="en-US"/>
            </w:rPr>
          </w:pPr>
          <w:hyperlink w:anchor="_Toc515545377" w:history="1">
            <w:r w:rsidR="001A66E1" w:rsidRPr="008B6656">
              <w:rPr>
                <w:rStyle w:val="Hyperlink"/>
                <w:rFonts w:asciiTheme="majorHAnsi" w:hAnsiTheme="majorHAnsi"/>
                <w:noProof/>
                <w:color w:val="262626" w:themeColor="text1" w:themeTint="D9"/>
                <w:sz w:val="25"/>
                <w:szCs w:val="25"/>
              </w:rPr>
              <w:t>Medical-Surgical Supply Formulary by Disaster Scenario</w:t>
            </w:r>
            <w:r w:rsidR="001A66E1" w:rsidRPr="008B6656">
              <w:rPr>
                <w:rFonts w:asciiTheme="majorHAnsi" w:hAnsiTheme="majorHAnsi"/>
                <w:noProof/>
                <w:webHidden/>
                <w:color w:val="262626" w:themeColor="text1" w:themeTint="D9"/>
                <w:sz w:val="25"/>
                <w:szCs w:val="25"/>
              </w:rPr>
              <w:tab/>
            </w:r>
            <w:r w:rsidR="001A66E1" w:rsidRPr="008B6656">
              <w:rPr>
                <w:rFonts w:asciiTheme="majorHAnsi" w:hAnsiTheme="majorHAnsi"/>
                <w:noProof/>
                <w:webHidden/>
                <w:color w:val="262626" w:themeColor="text1" w:themeTint="D9"/>
                <w:sz w:val="25"/>
                <w:szCs w:val="25"/>
              </w:rPr>
              <w:fldChar w:fldCharType="begin"/>
            </w:r>
            <w:r w:rsidR="001A66E1" w:rsidRPr="008B6656">
              <w:rPr>
                <w:rFonts w:asciiTheme="majorHAnsi" w:hAnsiTheme="majorHAnsi"/>
                <w:noProof/>
                <w:webHidden/>
                <w:color w:val="262626" w:themeColor="text1" w:themeTint="D9"/>
                <w:sz w:val="25"/>
                <w:szCs w:val="25"/>
              </w:rPr>
              <w:instrText xml:space="preserve"> PAGEREF _Toc515545377 \h </w:instrText>
            </w:r>
            <w:r w:rsidR="001A66E1" w:rsidRPr="008B6656">
              <w:rPr>
                <w:rFonts w:asciiTheme="majorHAnsi" w:hAnsiTheme="majorHAnsi"/>
                <w:noProof/>
                <w:webHidden/>
                <w:color w:val="262626" w:themeColor="text1" w:themeTint="D9"/>
                <w:sz w:val="25"/>
                <w:szCs w:val="25"/>
              </w:rPr>
            </w:r>
            <w:r w:rsidR="001A66E1" w:rsidRPr="008B6656">
              <w:rPr>
                <w:rFonts w:asciiTheme="majorHAnsi" w:hAnsiTheme="majorHAnsi"/>
                <w:noProof/>
                <w:webHidden/>
                <w:color w:val="262626" w:themeColor="text1" w:themeTint="D9"/>
                <w:sz w:val="25"/>
                <w:szCs w:val="25"/>
              </w:rPr>
              <w:fldChar w:fldCharType="separate"/>
            </w:r>
            <w:r w:rsidR="006F42CD" w:rsidRPr="008B6656">
              <w:rPr>
                <w:rFonts w:asciiTheme="majorHAnsi" w:hAnsiTheme="majorHAnsi"/>
                <w:noProof/>
                <w:webHidden/>
                <w:color w:val="262626" w:themeColor="text1" w:themeTint="D9"/>
                <w:sz w:val="25"/>
                <w:szCs w:val="25"/>
              </w:rPr>
              <w:t>7</w:t>
            </w:r>
            <w:r w:rsidR="001A66E1" w:rsidRPr="008B6656">
              <w:rPr>
                <w:rFonts w:asciiTheme="majorHAnsi" w:hAnsiTheme="majorHAnsi"/>
                <w:noProof/>
                <w:webHidden/>
                <w:color w:val="262626" w:themeColor="text1" w:themeTint="D9"/>
                <w:sz w:val="25"/>
                <w:szCs w:val="25"/>
              </w:rPr>
              <w:fldChar w:fldCharType="end"/>
            </w:r>
          </w:hyperlink>
        </w:p>
        <w:p w:rsidR="00E37C9B" w:rsidRPr="00C8005C" w:rsidRDefault="00E37C9B" w:rsidP="007E636B">
          <w:pPr>
            <w:pStyle w:val="TOC3"/>
            <w:rPr>
              <w:color w:val="333F50"/>
            </w:rPr>
          </w:pPr>
          <w:r w:rsidRPr="008B6656">
            <w:rPr>
              <w:rFonts w:asciiTheme="majorHAnsi" w:hAnsiTheme="majorHAnsi"/>
              <w:noProof/>
              <w:color w:val="333F50"/>
              <w:sz w:val="24"/>
              <w:szCs w:val="24"/>
            </w:rPr>
            <w:fldChar w:fldCharType="end"/>
          </w:r>
          <w:r w:rsidR="000A56A9" w:rsidRPr="00C8005C">
            <w:rPr>
              <w:color w:val="333F50"/>
            </w:rPr>
            <w:br w:type="page"/>
          </w:r>
        </w:p>
      </w:sdtContent>
    </w:sdt>
    <w:p w:rsidR="00D03F5D" w:rsidRPr="005773C2" w:rsidRDefault="00D03F5D" w:rsidP="00D23ACE">
      <w:pPr>
        <w:pStyle w:val="Heading1"/>
        <w:spacing w:before="0"/>
      </w:pPr>
      <w:bookmarkStart w:id="3" w:name="_Toc515545324"/>
      <w:r w:rsidRPr="005773C2">
        <w:lastRenderedPageBreak/>
        <w:t>Introduction</w:t>
      </w:r>
      <w:bookmarkEnd w:id="3"/>
    </w:p>
    <w:p w:rsidR="00DC6FD9" w:rsidRDefault="00DC6FD9" w:rsidP="00885EF2">
      <w:pPr>
        <w:pStyle w:val="IntroducationText"/>
        <w:spacing w:before="180"/>
      </w:pPr>
      <w:r w:rsidRPr="00C0353F">
        <w:t>To sustain operations during an extended emergency, hospitals need a process to determine the length of time it can continue to supply necessary services, care, protection, and nourish</w:t>
      </w:r>
      <w:r w:rsidR="00FF21C5" w:rsidRPr="00C0353F">
        <w:t xml:space="preserve">ment to its staff and patients. </w:t>
      </w:r>
      <w:r w:rsidR="00D03F5D" w:rsidRPr="00C0353F">
        <w:t>The 96</w:t>
      </w:r>
      <w:r w:rsidR="00BA5B0A" w:rsidRPr="00C0353F">
        <w:t xml:space="preserve"> Hour Sustainability Assessment </w:t>
      </w:r>
      <w:r w:rsidRPr="00C0353F">
        <w:t xml:space="preserve">process </w:t>
      </w:r>
      <w:r w:rsidR="00D03F5D" w:rsidRPr="00C0353F">
        <w:t>provides a framework to determine sustainability periods and gaps for</w:t>
      </w:r>
      <w:r w:rsidR="00922493" w:rsidRPr="00C0353F">
        <w:t xml:space="preserve"> essential </w:t>
      </w:r>
      <w:r w:rsidR="0007523E" w:rsidRPr="00C0353F">
        <w:t>resources,</w:t>
      </w:r>
      <w:r w:rsidR="00922493" w:rsidRPr="00C0353F">
        <w:t xml:space="preserve"> </w:t>
      </w:r>
      <w:r w:rsidR="003568E2" w:rsidRPr="00C0353F">
        <w:t xml:space="preserve">examine </w:t>
      </w:r>
      <w:r w:rsidR="00D03F5D" w:rsidRPr="00C0353F">
        <w:t xml:space="preserve">mitigation </w:t>
      </w:r>
      <w:r w:rsidR="003568E2" w:rsidRPr="00C0353F">
        <w:t xml:space="preserve">strategies </w:t>
      </w:r>
      <w:r w:rsidR="00D03F5D" w:rsidRPr="00C0353F">
        <w:t>and inform Incident Command during an emergency event</w:t>
      </w:r>
      <w:r w:rsidR="00372C1B" w:rsidRPr="00C0353F">
        <w:t>.</w:t>
      </w:r>
      <w:r w:rsidR="00085648" w:rsidRPr="00C0353F">
        <w:t xml:space="preserve"> </w:t>
      </w:r>
    </w:p>
    <w:p w:rsidR="00CB622F" w:rsidRPr="00C33A4B" w:rsidRDefault="00CB622F" w:rsidP="009E15F4">
      <w:pPr>
        <w:pStyle w:val="IntroducationText"/>
      </w:pPr>
      <w:r w:rsidRPr="0013672A">
        <w:t xml:space="preserve">It is recommended that a multi-disciplinary process be used in each step of the assessment. </w:t>
      </w:r>
      <w:r>
        <w:t>The Assessment t</w:t>
      </w:r>
      <w:r w:rsidRPr="0013672A">
        <w:t xml:space="preserve">ools will help calculate how long resources will last. Hospitals will </w:t>
      </w:r>
      <w:r>
        <w:t xml:space="preserve">then </w:t>
      </w:r>
      <w:r w:rsidRPr="0013672A">
        <w:t xml:space="preserve">need to determine their mitigation strategies and review related plans based on these calculations and </w:t>
      </w:r>
      <w:r>
        <w:t xml:space="preserve">planning </w:t>
      </w:r>
      <w:r w:rsidRPr="0013672A">
        <w:t xml:space="preserve">assumptions. The </w:t>
      </w:r>
      <w:r>
        <w:t>t</w:t>
      </w:r>
      <w:r w:rsidRPr="0013672A">
        <w:t>ools are scalable</w:t>
      </w:r>
      <w:r>
        <w:t xml:space="preserve"> and</w:t>
      </w:r>
      <w:r w:rsidRPr="0013672A">
        <w:t xml:space="preserve"> should be modified based on your normal operations and the emergency operational need</w:t>
      </w:r>
      <w:r>
        <w:t xml:space="preserve">s of the event. </w:t>
      </w:r>
      <w:r w:rsidRPr="00C33A4B">
        <w:t>The primary tools used in the Assessment process are:</w:t>
      </w:r>
    </w:p>
    <w:p w:rsidR="00CB622F" w:rsidRDefault="00CB622F" w:rsidP="009E15F4">
      <w:pPr>
        <w:pStyle w:val="IntroducationText"/>
        <w:numPr>
          <w:ilvl w:val="0"/>
          <w:numId w:val="20"/>
        </w:numPr>
        <w:spacing w:before="100"/>
        <w:ind w:left="576" w:hanging="288"/>
        <w:rPr>
          <w:rStyle w:val="13TextChar"/>
          <w:rFonts w:ascii="Segoe UI Light" w:hAnsi="Segoe UI Light" w:cs="Segoe UI Light"/>
          <w:color w:val="0F243E" w:themeColor="text2" w:themeShade="80"/>
          <w:sz w:val="28"/>
        </w:rPr>
      </w:pPr>
      <w:bookmarkStart w:id="4" w:name="_Toc510627311"/>
      <w:r w:rsidRPr="008A6434">
        <w:rPr>
          <w:b/>
        </w:rPr>
        <w:t>96 Hour Operational Impact Chart</w:t>
      </w:r>
      <w:bookmarkEnd w:id="4"/>
      <w:r w:rsidRPr="0013672A">
        <w:rPr>
          <w:b/>
        </w:rPr>
        <w:t xml:space="preserve"> </w:t>
      </w:r>
      <w:r>
        <w:t>– V</w:t>
      </w:r>
      <w:r w:rsidRPr="0013672A">
        <w:t xml:space="preserve">isual analysis </w:t>
      </w:r>
      <w:r>
        <w:t xml:space="preserve">tracking </w:t>
      </w:r>
      <w:r w:rsidRPr="0013672A">
        <w:t>sustainability periods and gaps that may impact operations.</w:t>
      </w:r>
      <w:r w:rsidRPr="0013672A">
        <w:rPr>
          <w:rStyle w:val="13TextChar"/>
          <w:rFonts w:ascii="Segoe UI Light" w:hAnsi="Segoe UI Light" w:cs="Segoe UI Light"/>
          <w:color w:val="0F243E" w:themeColor="text2" w:themeShade="80"/>
          <w:sz w:val="28"/>
        </w:rPr>
        <w:t xml:space="preserve"> </w:t>
      </w:r>
      <w:bookmarkStart w:id="5" w:name="_Toc510627312"/>
    </w:p>
    <w:p w:rsidR="00CB622F" w:rsidRPr="00CB622F" w:rsidRDefault="00CB622F" w:rsidP="009E15F4">
      <w:pPr>
        <w:pStyle w:val="IntroducationText"/>
        <w:numPr>
          <w:ilvl w:val="0"/>
          <w:numId w:val="20"/>
        </w:numPr>
        <w:spacing w:before="80"/>
        <w:ind w:left="576" w:hanging="288"/>
        <w:rPr>
          <w:rFonts w:ascii="Segoe UI Light" w:eastAsiaTheme="majorEastAsia" w:hAnsi="Segoe UI Light"/>
          <w:b/>
          <w:color w:val="0F243E" w:themeColor="text2" w:themeShade="80"/>
          <w:spacing w:val="4"/>
          <w:sz w:val="28"/>
          <w:szCs w:val="26"/>
        </w:rPr>
      </w:pPr>
      <w:r w:rsidRPr="00C0353F">
        <w:rPr>
          <w:b/>
        </w:rPr>
        <w:t>96 Hour Inventory Sustainability Period Calculator</w:t>
      </w:r>
      <w:bookmarkEnd w:id="5"/>
      <w:r w:rsidRPr="00C0353F">
        <w:rPr>
          <w:rStyle w:val="Emphasis"/>
          <w:color w:val="0F243E" w:themeColor="text2" w:themeShade="80"/>
        </w:rPr>
        <w:t xml:space="preserve"> </w:t>
      </w:r>
      <w:r w:rsidRPr="0013672A">
        <w:t xml:space="preserve">– Calculates the number of hours resources </w:t>
      </w:r>
      <w:r>
        <w:t>may be sustained</w:t>
      </w:r>
      <w:r w:rsidRPr="0013672A">
        <w:t xml:space="preserve"> based on census and inventory data. </w:t>
      </w:r>
    </w:p>
    <w:p w:rsidR="007A1A0F" w:rsidRPr="00C0353F" w:rsidRDefault="00DC6FD9" w:rsidP="009E15F4">
      <w:pPr>
        <w:pStyle w:val="IntroducationText"/>
        <w:spacing w:before="100"/>
      </w:pPr>
      <w:r w:rsidRPr="00C0353F">
        <w:t>This process, based on “A Process for Determining Resource and Asset Sustainability During Emergencies” developed by the American Society of Healthcare Engineers (ASHE), applies the basic assumption that inventory consumption is linked to average daily census, and that quantitative calculations of how long resources will last may be made based on</w:t>
      </w:r>
      <w:r w:rsidR="00FF21C5" w:rsidRPr="00C0353F">
        <w:t xml:space="preserve"> average daily census, inventory and annual consumption rates</w:t>
      </w:r>
      <w:r w:rsidRPr="00C0353F">
        <w:t xml:space="preserve">. </w:t>
      </w:r>
      <w:r w:rsidR="002E530B" w:rsidRPr="00C0353F">
        <w:t>T</w:t>
      </w:r>
      <w:r w:rsidR="00485831" w:rsidRPr="00C0353F">
        <w:t>he 96 Hour Sustainability Assessment</w:t>
      </w:r>
      <w:r w:rsidR="002E530B" w:rsidRPr="00C0353F">
        <w:t xml:space="preserve"> process will </w:t>
      </w:r>
      <w:r w:rsidR="007A1A0F" w:rsidRPr="00C0353F">
        <w:t xml:space="preserve">identify: </w:t>
      </w:r>
    </w:p>
    <w:p w:rsidR="00C87836" w:rsidRPr="00C0353F" w:rsidRDefault="00C87836" w:rsidP="009E15F4">
      <w:pPr>
        <w:pStyle w:val="IntroductionBullet1"/>
        <w:spacing w:before="80" w:after="60"/>
      </w:pPr>
      <w:r w:rsidRPr="00C0353F">
        <w:t>How long resources may be expected to last if t</w:t>
      </w:r>
      <w:r w:rsidR="00E41C72" w:rsidRPr="00C0353F">
        <w:t>here is a disruption in supply or system failure;</w:t>
      </w:r>
      <w:r w:rsidRPr="00C0353F">
        <w:t xml:space="preserve"> </w:t>
      </w:r>
    </w:p>
    <w:p w:rsidR="00C87836" w:rsidRPr="00C0353F" w:rsidRDefault="00C87836" w:rsidP="009E15F4">
      <w:pPr>
        <w:pStyle w:val="IntroductionBullet1"/>
        <w:spacing w:after="60"/>
      </w:pPr>
      <w:r w:rsidRPr="00C0353F">
        <w:t>Areas where sustainability gaps exist without adjusting consumption, curtailing services, or employing mitigation strategies;</w:t>
      </w:r>
    </w:p>
    <w:p w:rsidR="00C87836" w:rsidRPr="001B616E" w:rsidRDefault="00C87836" w:rsidP="009E5FB0">
      <w:pPr>
        <w:pStyle w:val="IntroductionBullet1"/>
      </w:pPr>
      <w:r w:rsidRPr="001B616E">
        <w:t>Areas for improvement in emergency and supply chain plans, and mitigation strategies.</w:t>
      </w:r>
    </w:p>
    <w:p w:rsidR="009664EE" w:rsidRPr="009E5FB0" w:rsidRDefault="009664EE" w:rsidP="009E5FB0">
      <w:pPr>
        <w:pStyle w:val="IntroducationText"/>
        <w:spacing w:before="80"/>
      </w:pPr>
      <w:r w:rsidRPr="009E5FB0">
        <w:t xml:space="preserve">As a detailed analysis is conducted and documented, the hospital learns where it is most vulnerable. Once the vulnerabilities, as a function of time, are known and compared to one another, the hospital </w:t>
      </w:r>
      <w:r w:rsidR="00E41C72" w:rsidRPr="009E5FB0">
        <w:t xml:space="preserve">identifies the </w:t>
      </w:r>
      <w:r w:rsidRPr="009E5FB0">
        <w:t>weakest element</w:t>
      </w:r>
      <w:r w:rsidR="00E41C72" w:rsidRPr="009E5FB0">
        <w:t>s</w:t>
      </w:r>
      <w:r w:rsidRPr="009E5FB0">
        <w:t xml:space="preserve"> of its ability to sustain operations</w:t>
      </w:r>
      <w:r w:rsidR="00E41C72" w:rsidRPr="009E5FB0">
        <w:t xml:space="preserve"> and</w:t>
      </w:r>
      <w:r w:rsidRPr="009E5FB0">
        <w:t xml:space="preserve"> the point </w:t>
      </w:r>
      <w:r w:rsidR="00E41C72" w:rsidRPr="009E5FB0">
        <w:t xml:space="preserve">at which </w:t>
      </w:r>
      <w:r w:rsidRPr="009E5FB0">
        <w:t>sustaining operations becomes unsafe and at which evacuation may be necessary.</w:t>
      </w:r>
    </w:p>
    <w:p w:rsidR="003800C6" w:rsidRPr="001B616E" w:rsidRDefault="003800C6" w:rsidP="009E15F4">
      <w:pPr>
        <w:pStyle w:val="IntroducationText"/>
      </w:pPr>
      <w:r w:rsidRPr="001B616E">
        <w:t xml:space="preserve">The </w:t>
      </w:r>
      <w:r w:rsidR="00492BF5">
        <w:t xml:space="preserve">Joint Commission’s </w:t>
      </w:r>
      <w:r w:rsidRPr="001B616E">
        <w:t>96-Hour Element of Performance</w:t>
      </w:r>
      <w:r w:rsidR="00492BF5">
        <w:t xml:space="preserve"> </w:t>
      </w:r>
      <w:r w:rsidR="00492BF5" w:rsidRPr="00492BF5">
        <w:rPr>
          <w:sz w:val="24"/>
        </w:rPr>
        <w:t>[EM.02.01.01]</w:t>
      </w:r>
      <w:r w:rsidRPr="00492BF5">
        <w:rPr>
          <w:sz w:val="24"/>
        </w:rPr>
        <w:t xml:space="preserve"> </w:t>
      </w:r>
      <w:r w:rsidRPr="001B616E">
        <w:t>states that hospitals should:</w:t>
      </w:r>
    </w:p>
    <w:p w:rsidR="003800C6" w:rsidRPr="00B306C4" w:rsidRDefault="003800C6" w:rsidP="009E5FB0">
      <w:pPr>
        <w:pStyle w:val="IntroductionBullet1"/>
      </w:pPr>
      <w:r w:rsidRPr="00B306C4">
        <w:t>Identify hospital capabilities and establish response procedures when the hospital cannot be supported by the local community for at least 96 hours (capabilities may include communication, resources, utiliti</w:t>
      </w:r>
      <w:r w:rsidR="00C0353F">
        <w:t>es, staff, safety and security);</w:t>
      </w:r>
    </w:p>
    <w:p w:rsidR="003800C6" w:rsidRPr="0013672A" w:rsidRDefault="003800C6" w:rsidP="009E5FB0">
      <w:pPr>
        <w:pStyle w:val="IntroductionBullet1"/>
      </w:pPr>
      <w:r w:rsidRPr="0013672A">
        <w:t>Document response procedures (such as maintaining/expanding services, conservation of resources, curtailment of services, supplementing resources from outside disaster area, partial/staged evacuation, or full evacuation, as necessary)</w:t>
      </w:r>
      <w:r w:rsidR="00C0353F">
        <w:t>;</w:t>
      </w:r>
    </w:p>
    <w:p w:rsidR="0022663A" w:rsidRDefault="0046023C" w:rsidP="009E5FB0">
      <w:pPr>
        <w:pStyle w:val="IntroducationText"/>
        <w:spacing w:before="100"/>
      </w:pPr>
      <w:r w:rsidRPr="00D23ACE">
        <w:t xml:space="preserve">The </w:t>
      </w:r>
      <w:r w:rsidR="00485831" w:rsidRPr="00D23ACE">
        <w:t xml:space="preserve">standard requires </w:t>
      </w:r>
      <w:r w:rsidR="00C0353F">
        <w:t xml:space="preserve">that </w:t>
      </w:r>
      <w:r w:rsidR="003800C6" w:rsidRPr="00D23ACE">
        <w:t>hospital</w:t>
      </w:r>
      <w:r w:rsidR="00485831" w:rsidRPr="00D23ACE">
        <w:t>s</w:t>
      </w:r>
      <w:r w:rsidR="003800C6" w:rsidRPr="00D23ACE">
        <w:t xml:space="preserve"> </w:t>
      </w:r>
      <w:r w:rsidRPr="00D23ACE">
        <w:t>develop an understanding of their capabilities and limitations in order to make effective decisions concerning progressive curtailment or stopping of services in an organized and prioritized way so as to maintain those services most applicable to the situati</w:t>
      </w:r>
      <w:r w:rsidR="00CB622F">
        <w:t xml:space="preserve">on as long as possible. This </w:t>
      </w:r>
      <w:r w:rsidRPr="00D23ACE">
        <w:t>analysis</w:t>
      </w:r>
      <w:r w:rsidR="00C0353F">
        <w:t>, anticipated actions and emergency inventory</w:t>
      </w:r>
      <w:r w:rsidRPr="00D23ACE">
        <w:t xml:space="preserve"> </w:t>
      </w:r>
      <w:r w:rsidR="00003981" w:rsidRPr="00D23ACE">
        <w:t xml:space="preserve">should </w:t>
      </w:r>
      <w:r w:rsidRPr="00D23ACE">
        <w:t xml:space="preserve">be </w:t>
      </w:r>
      <w:r w:rsidR="00C0353F">
        <w:t xml:space="preserve">based on </w:t>
      </w:r>
      <w:r w:rsidRPr="00D23ACE">
        <w:t>the</w:t>
      </w:r>
      <w:r w:rsidR="00485831" w:rsidRPr="00D23ACE">
        <w:t xml:space="preserve"> HVA</w:t>
      </w:r>
      <w:r w:rsidR="00CB622F">
        <w:t>.</w:t>
      </w:r>
    </w:p>
    <w:p w:rsidR="00C87836" w:rsidRPr="00492BF5" w:rsidRDefault="00492BF5" w:rsidP="009E5FB0">
      <w:pPr>
        <w:pStyle w:val="IntroducationText"/>
        <w:spacing w:after="20"/>
      </w:pPr>
      <w:r w:rsidRPr="00492BF5">
        <w:t>CMS</w:t>
      </w:r>
      <w:r w:rsidR="00CB622F">
        <w:t>’</w:t>
      </w:r>
      <w:r w:rsidRPr="00492BF5">
        <w:t xml:space="preserve"> Conditions of Participation for</w:t>
      </w:r>
      <w:r w:rsidR="00C87836" w:rsidRPr="00492BF5">
        <w:t xml:space="preserve"> Emerg</w:t>
      </w:r>
      <w:r w:rsidR="001B616E" w:rsidRPr="00492BF5">
        <w:t xml:space="preserve">ency Preparedness </w:t>
      </w:r>
      <w:r w:rsidR="001B616E" w:rsidRPr="00492BF5">
        <w:rPr>
          <w:sz w:val="24"/>
        </w:rPr>
        <w:t>(§</w:t>
      </w:r>
      <w:r w:rsidR="00C87836" w:rsidRPr="00492BF5">
        <w:rPr>
          <w:sz w:val="24"/>
        </w:rPr>
        <w:t>482.15)</w:t>
      </w:r>
      <w:r w:rsidR="001B616E" w:rsidRPr="00492BF5">
        <w:rPr>
          <w:sz w:val="24"/>
        </w:rPr>
        <w:t xml:space="preserve"> </w:t>
      </w:r>
      <w:r w:rsidR="00CB622F">
        <w:t>require</w:t>
      </w:r>
      <w:r w:rsidRPr="00492BF5">
        <w:t xml:space="preserve"> that </w:t>
      </w:r>
      <w:r w:rsidR="00C87836" w:rsidRPr="00492BF5">
        <w:t>hospitals</w:t>
      </w:r>
      <w:r w:rsidR="001B616E" w:rsidRPr="00492BF5">
        <w:t>’</w:t>
      </w:r>
      <w:r w:rsidR="00C87836" w:rsidRPr="00492BF5">
        <w:t xml:space="preserve"> emergency plan</w:t>
      </w:r>
      <w:r w:rsidR="001B616E" w:rsidRPr="00492BF5">
        <w:t xml:space="preserve">s </w:t>
      </w:r>
      <w:r w:rsidR="00C87836" w:rsidRPr="00492BF5">
        <w:t>address identified risks including</w:t>
      </w:r>
      <w:r w:rsidR="001B616E" w:rsidRPr="00492BF5">
        <w:t>:</w:t>
      </w:r>
      <w:r w:rsidR="00C87836" w:rsidRPr="00492BF5">
        <w:t xml:space="preserve">  </w:t>
      </w:r>
    </w:p>
    <w:p w:rsidR="00C87836" w:rsidRPr="0013672A" w:rsidRDefault="00C87836" w:rsidP="009E5FB0">
      <w:pPr>
        <w:pStyle w:val="IntroductionBullet1"/>
        <w:spacing w:before="0" w:after="20"/>
      </w:pPr>
      <w:r w:rsidRPr="0013672A">
        <w:t>Care-related emergencies;</w:t>
      </w:r>
    </w:p>
    <w:p w:rsidR="00C87836" w:rsidRPr="0013672A" w:rsidRDefault="00C87836" w:rsidP="009E5FB0">
      <w:pPr>
        <w:pStyle w:val="IntroductionBullet1"/>
        <w:spacing w:before="0" w:after="20"/>
      </w:pPr>
      <w:r w:rsidRPr="0013672A">
        <w:t>Equipment and utility failures, including but not limited to power, water, gas, etc.;</w:t>
      </w:r>
    </w:p>
    <w:p w:rsidR="00C87836" w:rsidRPr="00003981" w:rsidRDefault="00C87836" w:rsidP="009E5FB0">
      <w:pPr>
        <w:pStyle w:val="IntroductionBullet1"/>
        <w:spacing w:before="0" w:after="20"/>
      </w:pPr>
      <w:r w:rsidRPr="00003981">
        <w:t xml:space="preserve">Interruptions in communication, including cyber-attacks; </w:t>
      </w:r>
    </w:p>
    <w:p w:rsidR="00C87836" w:rsidRPr="0013672A" w:rsidRDefault="00C87836" w:rsidP="009E5FB0">
      <w:pPr>
        <w:pStyle w:val="IntroductionBullet1"/>
        <w:spacing w:before="0" w:after="20"/>
      </w:pPr>
      <w:r w:rsidRPr="0013672A">
        <w:t xml:space="preserve">Loss of all or portion of a facility; and </w:t>
      </w:r>
    </w:p>
    <w:p w:rsidR="00C87836" w:rsidRPr="0013672A" w:rsidRDefault="00C87836" w:rsidP="009E5FB0">
      <w:pPr>
        <w:pStyle w:val="IntroductionBullet1"/>
        <w:spacing w:before="0" w:after="0"/>
      </w:pPr>
      <w:r w:rsidRPr="0013672A">
        <w:lastRenderedPageBreak/>
        <w:t>Interruptions to the normal supply of essential resources, such as water, food, fuel medications and medical supplies</w:t>
      </w:r>
      <w:r>
        <w:t>.</w:t>
      </w:r>
      <w:r w:rsidRPr="0013672A">
        <w:t xml:space="preserve"> </w:t>
      </w:r>
    </w:p>
    <w:p w:rsidR="00C87836" w:rsidRPr="0013672A" w:rsidRDefault="00C87836" w:rsidP="00885EF2">
      <w:pPr>
        <w:pStyle w:val="IntroducationText"/>
        <w:spacing w:before="80" w:after="20"/>
      </w:pPr>
      <w:r>
        <w:t xml:space="preserve">The </w:t>
      </w:r>
      <w:r w:rsidRPr="0013672A">
        <w:t xml:space="preserve">emergency plan, policies and procedures </w:t>
      </w:r>
      <w:r>
        <w:t xml:space="preserve">must </w:t>
      </w:r>
      <w:r w:rsidR="009E5FB0">
        <w:t xml:space="preserve">also </w:t>
      </w:r>
      <w:r w:rsidRPr="0013672A">
        <w:t xml:space="preserve">address: </w:t>
      </w:r>
    </w:p>
    <w:p w:rsidR="00C87836" w:rsidRPr="0013672A" w:rsidRDefault="00C87836" w:rsidP="00885EF2">
      <w:pPr>
        <w:pStyle w:val="IntroductionBullet1"/>
        <w:spacing w:before="20" w:after="20"/>
      </w:pPr>
      <w:r w:rsidRPr="0013672A">
        <w:rPr>
          <w:lang w:eastAsia="en-US"/>
        </w:rPr>
        <w:t>Strategies for responding to emergency events identified by the risk assessment.</w:t>
      </w:r>
    </w:p>
    <w:p w:rsidR="00C87836" w:rsidRPr="0013672A" w:rsidRDefault="00C87836" w:rsidP="009E15F4">
      <w:pPr>
        <w:pStyle w:val="IntroductionBullet1"/>
        <w:spacing w:before="20" w:after="20"/>
        <w:rPr>
          <w:lang w:eastAsia="en-US"/>
        </w:rPr>
      </w:pPr>
      <w:r w:rsidRPr="0013672A">
        <w:rPr>
          <w:lang w:eastAsia="en-US"/>
        </w:rPr>
        <w:t>Services the hospital has the ability to provide in an emergency; and continuity of operations</w:t>
      </w:r>
      <w:r>
        <w:rPr>
          <w:lang w:eastAsia="en-US"/>
        </w:rPr>
        <w:t>.</w:t>
      </w:r>
    </w:p>
    <w:p w:rsidR="00C87836" w:rsidRPr="0013672A" w:rsidRDefault="00C87836" w:rsidP="009E15F4">
      <w:pPr>
        <w:pStyle w:val="IntroductionBullet1"/>
        <w:spacing w:before="20" w:after="20"/>
      </w:pPr>
      <w:r w:rsidRPr="0013672A">
        <w:t xml:space="preserve">The provision of food, water, medical, and pharmaceutical supplies for staff and patients, whether they evacuate or </w:t>
      </w:r>
      <w:r>
        <w:t>shelter in place.</w:t>
      </w:r>
    </w:p>
    <w:p w:rsidR="00C87836" w:rsidRPr="0013672A" w:rsidRDefault="00C87836" w:rsidP="009E15F4">
      <w:pPr>
        <w:pStyle w:val="IntroductionBullet1"/>
        <w:spacing w:before="20" w:after="20"/>
      </w:pPr>
      <w:r w:rsidRPr="0013672A">
        <w:t>Alternate sources of energy to maintain:</w:t>
      </w:r>
    </w:p>
    <w:p w:rsidR="00C87836" w:rsidRPr="0013672A" w:rsidRDefault="00C87836" w:rsidP="00885EF2">
      <w:pPr>
        <w:pStyle w:val="IntroductionBullet1"/>
        <w:numPr>
          <w:ilvl w:val="1"/>
          <w:numId w:val="24"/>
        </w:numPr>
        <w:spacing w:before="1" w:after="1"/>
        <w:ind w:left="1152" w:hanging="288"/>
      </w:pPr>
      <w:r w:rsidRPr="0013672A">
        <w:t>Temperatures to protect patient health and safety, and storage of provisions.</w:t>
      </w:r>
    </w:p>
    <w:p w:rsidR="00C87836" w:rsidRPr="0013672A" w:rsidRDefault="00C87836" w:rsidP="00885EF2">
      <w:pPr>
        <w:pStyle w:val="IntroductionBullet1"/>
        <w:numPr>
          <w:ilvl w:val="1"/>
          <w:numId w:val="24"/>
        </w:numPr>
        <w:spacing w:before="1" w:after="1"/>
        <w:ind w:left="1152" w:hanging="288"/>
      </w:pPr>
      <w:r w:rsidRPr="0013672A">
        <w:t>Emergency lighting.</w:t>
      </w:r>
    </w:p>
    <w:p w:rsidR="00C87836" w:rsidRPr="0013672A" w:rsidRDefault="00C87836" w:rsidP="00885EF2">
      <w:pPr>
        <w:pStyle w:val="IntroductionBullet1"/>
        <w:numPr>
          <w:ilvl w:val="1"/>
          <w:numId w:val="24"/>
        </w:numPr>
        <w:spacing w:before="1" w:after="1"/>
        <w:ind w:left="1152" w:hanging="288"/>
      </w:pPr>
      <w:r w:rsidRPr="0013672A">
        <w:t>Fire detection, extinguishing, and alarm systems.</w:t>
      </w:r>
    </w:p>
    <w:p w:rsidR="00C87836" w:rsidRPr="0013672A" w:rsidRDefault="00C87836" w:rsidP="009E15F4">
      <w:pPr>
        <w:pStyle w:val="IntroductionBullet1"/>
        <w:numPr>
          <w:ilvl w:val="1"/>
          <w:numId w:val="24"/>
        </w:numPr>
        <w:spacing w:before="20" w:after="20"/>
        <w:ind w:left="1152" w:hanging="288"/>
      </w:pPr>
      <w:r w:rsidRPr="0013672A">
        <w:t>Sewage and waste disposal.</w:t>
      </w:r>
    </w:p>
    <w:p w:rsidR="009E15F4" w:rsidRPr="00003981" w:rsidRDefault="009E15F4" w:rsidP="005126B5">
      <w:pPr>
        <w:pStyle w:val="IntroducationText"/>
        <w:spacing w:before="60"/>
      </w:pPr>
      <w:r w:rsidRPr="00003981">
        <w:t>When evaluating potential interruptions to the normal supply of essential services, the facility should take into account the likely durations of such interruptions. Arrangements or contracts to re-establish essential utility services during an emergency should describe the timeframe within which the contractor is required to initiate services after the start of the emergency, how they will be procured and delivered in the facility’s local area, and that the contractor will continue to supply the essential items throughout and to the end of emergencies of varying duration.</w:t>
      </w:r>
    </w:p>
    <w:p w:rsidR="00D03F5D" w:rsidRPr="00C33A4B" w:rsidRDefault="0022663A" w:rsidP="005126B5">
      <w:pPr>
        <w:pStyle w:val="Heading1"/>
        <w:spacing w:before="200"/>
        <w:rPr>
          <w:sz w:val="26"/>
        </w:rPr>
      </w:pPr>
      <w:bookmarkStart w:id="6" w:name="_Toc515545325"/>
      <w:r w:rsidRPr="00C33A4B">
        <w:rPr>
          <w:noProof/>
          <w:lang w:eastAsia="en-US"/>
        </w:rPr>
        <w:drawing>
          <wp:anchor distT="0" distB="0" distL="0" distR="0" simplePos="0" relativeHeight="251660288" behindDoc="0" locked="1" layoutInCell="1" allowOverlap="1" wp14:anchorId="4D59E9B0" wp14:editId="0D66F0B0">
            <wp:simplePos x="0" y="0"/>
            <wp:positionH relativeFrom="margin">
              <wp:posOffset>217170</wp:posOffset>
            </wp:positionH>
            <wp:positionV relativeFrom="paragraph">
              <wp:posOffset>459740</wp:posOffset>
            </wp:positionV>
            <wp:extent cx="6025515" cy="1447800"/>
            <wp:effectExtent l="0" t="0" r="13335" b="571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D03F5D" w:rsidRPr="00C33A4B">
        <w:t>Preparing to Conduct a 96 Hour Sustainability Assessment</w:t>
      </w:r>
      <w:bookmarkEnd w:id="6"/>
    </w:p>
    <w:p w:rsidR="00D03F5D" w:rsidRPr="00C33A4B" w:rsidRDefault="00D22036" w:rsidP="005126B5">
      <w:pPr>
        <w:pStyle w:val="Heading2"/>
        <w:numPr>
          <w:ilvl w:val="0"/>
          <w:numId w:val="15"/>
        </w:numPr>
        <w:spacing w:before="60"/>
      </w:pPr>
      <w:bookmarkStart w:id="7" w:name="_Toc515545326"/>
      <w:r w:rsidRPr="00C33A4B">
        <w:t xml:space="preserve">Identify </w:t>
      </w:r>
      <w:r w:rsidR="00D03F5D" w:rsidRPr="00C33A4B">
        <w:t>Assessment Team</w:t>
      </w:r>
      <w:bookmarkEnd w:id="7"/>
    </w:p>
    <w:p w:rsidR="003B201B" w:rsidRPr="00FE3A8D" w:rsidRDefault="00D03F5D" w:rsidP="006C100C">
      <w:pPr>
        <w:pStyle w:val="Heading3"/>
      </w:pPr>
      <w:bookmarkStart w:id="8" w:name="_Toc515545203"/>
      <w:bookmarkStart w:id="9" w:name="_Toc515545327"/>
      <w:r w:rsidRPr="00FE3A8D">
        <w:t xml:space="preserve">Convene an inter-disciplinary team such as the </w:t>
      </w:r>
      <w:r w:rsidR="00E5187A" w:rsidRPr="00FE3A8D">
        <w:t xml:space="preserve">Emergency Management </w:t>
      </w:r>
      <w:r w:rsidR="006C100C">
        <w:t xml:space="preserve">Committee </w:t>
      </w:r>
      <w:r w:rsidR="00646657" w:rsidRPr="00FE3A8D">
        <w:t xml:space="preserve">or Environment of Care </w:t>
      </w:r>
      <w:r w:rsidR="00646657" w:rsidRPr="006C100C">
        <w:t>Committee</w:t>
      </w:r>
      <w:r w:rsidRPr="00FE3A8D">
        <w:t>.</w:t>
      </w:r>
      <w:bookmarkEnd w:id="8"/>
      <w:bookmarkEnd w:id="9"/>
      <w:r w:rsidR="003B201B" w:rsidRPr="00FE3A8D">
        <w:t xml:space="preserve"> </w:t>
      </w:r>
    </w:p>
    <w:p w:rsidR="002E13A9" w:rsidRPr="00FE3A8D" w:rsidRDefault="002E13A9" w:rsidP="00FE3A8D">
      <w:pPr>
        <w:pStyle w:val="SmallText"/>
      </w:pPr>
      <w:r w:rsidRPr="00FE3A8D">
        <w:t>Assessment team members should include</w:t>
      </w:r>
      <w:r w:rsidR="00866EF8" w:rsidRPr="00FE3A8D">
        <w:t xml:space="preserve"> </w:t>
      </w:r>
      <w:r w:rsidR="00646657" w:rsidRPr="00FE3A8D">
        <w:t xml:space="preserve">department heads, and administrative and clinical staff </w:t>
      </w:r>
      <w:r w:rsidR="007A17CF" w:rsidRPr="00FE3A8D">
        <w:t>from</w:t>
      </w:r>
      <w:r w:rsidRPr="00FE3A8D">
        <w:t>:</w:t>
      </w:r>
    </w:p>
    <w:p w:rsidR="0018490C" w:rsidRPr="00B306C4" w:rsidRDefault="0018490C" w:rsidP="00FE3A8D">
      <w:pPr>
        <w:pStyle w:val="SmallText"/>
        <w:sectPr w:rsidR="0018490C" w:rsidRPr="00B306C4" w:rsidSect="00A251F0">
          <w:footerReference w:type="default" r:id="rId17"/>
          <w:pgSz w:w="12240" w:h="15840"/>
          <w:pgMar w:top="1008" w:right="1008" w:bottom="864" w:left="1008" w:header="0" w:footer="576" w:gutter="0"/>
          <w:cols w:space="720"/>
          <w:titlePg/>
          <w:docGrid w:linePitch="354"/>
        </w:sectPr>
      </w:pPr>
    </w:p>
    <w:p w:rsidR="002B1B33" w:rsidRPr="00C8094B" w:rsidRDefault="002B1B33" w:rsidP="009E15F4">
      <w:pPr>
        <w:pStyle w:val="SmallTextBullet"/>
        <w:spacing w:line="230" w:lineRule="exact"/>
      </w:pPr>
      <w:r w:rsidRPr="00C8094B">
        <w:t xml:space="preserve">Emergency Preparedness </w:t>
      </w:r>
    </w:p>
    <w:p w:rsidR="002E13A9" w:rsidRPr="00C8094B" w:rsidRDefault="00646657" w:rsidP="009E15F4">
      <w:pPr>
        <w:pStyle w:val="SmallTextBullet"/>
        <w:spacing w:line="230" w:lineRule="exact"/>
      </w:pPr>
      <w:r w:rsidRPr="00C8094B">
        <w:t>Materials Management</w:t>
      </w:r>
      <w:r w:rsidR="002E13A9" w:rsidRPr="00C8094B">
        <w:t>/Purchasing</w:t>
      </w:r>
    </w:p>
    <w:p w:rsidR="002E13A9" w:rsidRPr="00C8094B" w:rsidRDefault="002E13A9" w:rsidP="009E15F4">
      <w:pPr>
        <w:pStyle w:val="SmallTextBullet"/>
        <w:spacing w:line="230" w:lineRule="exact"/>
      </w:pPr>
      <w:r w:rsidRPr="00C8094B">
        <w:t xml:space="preserve">Plant Operations </w:t>
      </w:r>
    </w:p>
    <w:p w:rsidR="00E4743A" w:rsidRPr="00C8094B" w:rsidRDefault="00E4743A" w:rsidP="009E15F4">
      <w:pPr>
        <w:pStyle w:val="SmallTextBullet"/>
        <w:spacing w:line="230" w:lineRule="exact"/>
      </w:pPr>
      <w:r w:rsidRPr="00C8094B">
        <w:t xml:space="preserve">Environmental Services </w:t>
      </w:r>
    </w:p>
    <w:p w:rsidR="002E13A9" w:rsidRPr="00C8094B" w:rsidRDefault="002E13A9" w:rsidP="009E15F4">
      <w:pPr>
        <w:pStyle w:val="SmallTextBullet"/>
        <w:spacing w:line="230" w:lineRule="exact"/>
      </w:pPr>
      <w:r w:rsidRPr="00C8094B">
        <w:t>Pharmacy</w:t>
      </w:r>
    </w:p>
    <w:p w:rsidR="002E13A9" w:rsidRPr="00C8094B" w:rsidRDefault="002E13A9" w:rsidP="009E15F4">
      <w:pPr>
        <w:pStyle w:val="SmallTextBullet"/>
        <w:spacing w:line="230" w:lineRule="exact"/>
      </w:pPr>
      <w:r w:rsidRPr="00C8094B">
        <w:t>Dietary</w:t>
      </w:r>
      <w:r w:rsidR="00E4743A" w:rsidRPr="00C8094B">
        <w:t>/Food Services</w:t>
      </w:r>
    </w:p>
    <w:p w:rsidR="002E13A9" w:rsidRPr="00C8094B" w:rsidRDefault="002E13A9" w:rsidP="009E15F4">
      <w:pPr>
        <w:pStyle w:val="SmallTextBullet"/>
        <w:spacing w:line="230" w:lineRule="exact"/>
      </w:pPr>
      <w:r w:rsidRPr="00C8094B">
        <w:t>Infection Control</w:t>
      </w:r>
    </w:p>
    <w:p w:rsidR="002E13A9" w:rsidRPr="00C8094B" w:rsidRDefault="00E4743A" w:rsidP="009E15F4">
      <w:pPr>
        <w:pStyle w:val="SmallTextBullet"/>
        <w:spacing w:line="230" w:lineRule="exact"/>
      </w:pPr>
      <w:r w:rsidRPr="00C8094B">
        <w:t>Security</w:t>
      </w:r>
      <w:r w:rsidR="007D4141">
        <w:t>/Safety</w:t>
      </w:r>
    </w:p>
    <w:p w:rsidR="00E4743A" w:rsidRPr="00C8094B" w:rsidRDefault="00646657" w:rsidP="009E15F4">
      <w:pPr>
        <w:pStyle w:val="SmallTextBullet"/>
        <w:spacing w:line="230" w:lineRule="exact"/>
      </w:pPr>
      <w:r w:rsidRPr="00C8094B">
        <w:t>Medical Affairs</w:t>
      </w:r>
      <w:r w:rsidR="00E4743A" w:rsidRPr="00C8094B">
        <w:t>/Surgery</w:t>
      </w:r>
    </w:p>
    <w:p w:rsidR="00E4743A" w:rsidRPr="00C8094B" w:rsidRDefault="00E4743A" w:rsidP="009E15F4">
      <w:pPr>
        <w:pStyle w:val="SmallTextBullet"/>
        <w:spacing w:line="230" w:lineRule="exact"/>
      </w:pPr>
      <w:r w:rsidRPr="00C8094B">
        <w:t>Emergency Department</w:t>
      </w:r>
    </w:p>
    <w:p w:rsidR="00646657" w:rsidRPr="00C8094B" w:rsidRDefault="00646657" w:rsidP="009E15F4">
      <w:pPr>
        <w:pStyle w:val="SmallTextBullet"/>
        <w:spacing w:line="230" w:lineRule="exact"/>
      </w:pPr>
      <w:r w:rsidRPr="00C8094B">
        <w:t>Nursing</w:t>
      </w:r>
    </w:p>
    <w:p w:rsidR="00E4743A" w:rsidRPr="00C8094B" w:rsidRDefault="00E4743A" w:rsidP="009E15F4">
      <w:pPr>
        <w:pStyle w:val="SmallTextBullet"/>
        <w:spacing w:line="230" w:lineRule="exact"/>
      </w:pPr>
      <w:r w:rsidRPr="00C8094B">
        <w:t>Respiratory</w:t>
      </w:r>
    </w:p>
    <w:p w:rsidR="00E4743A" w:rsidRPr="00C8094B" w:rsidRDefault="00E4743A" w:rsidP="009E15F4">
      <w:pPr>
        <w:pStyle w:val="SmallTextBullet"/>
        <w:spacing w:line="230" w:lineRule="exact"/>
      </w:pPr>
      <w:r w:rsidRPr="00C8094B">
        <w:t>Human Resources</w:t>
      </w:r>
    </w:p>
    <w:p w:rsidR="0018490C" w:rsidRPr="00C8094B" w:rsidRDefault="002E13A9" w:rsidP="009E15F4">
      <w:pPr>
        <w:pStyle w:val="SmallTextBullet"/>
        <w:spacing w:line="230" w:lineRule="exact"/>
        <w:sectPr w:rsidR="0018490C" w:rsidRPr="00C8094B" w:rsidSect="00213917">
          <w:type w:val="continuous"/>
          <w:pgSz w:w="12240" w:h="15840"/>
          <w:pgMar w:top="792" w:right="864" w:bottom="936" w:left="864" w:header="0" w:footer="576" w:gutter="0"/>
          <w:cols w:num="2" w:space="720"/>
          <w:titlePg/>
          <w:docGrid w:linePitch="354"/>
        </w:sectPr>
      </w:pPr>
      <w:r w:rsidRPr="00C8094B">
        <w:t>IT</w:t>
      </w:r>
      <w:r w:rsidR="00965AEC" w:rsidRPr="00C8094B">
        <w:t>; Telecommunication</w:t>
      </w:r>
    </w:p>
    <w:p w:rsidR="003B201B" w:rsidRPr="00FF157A" w:rsidRDefault="002B1B33" w:rsidP="006C100C">
      <w:pPr>
        <w:pStyle w:val="Heading3"/>
      </w:pPr>
      <w:bookmarkStart w:id="10" w:name="_Toc510441377"/>
      <w:bookmarkStart w:id="11" w:name="_Toc510627317"/>
      <w:bookmarkStart w:id="12" w:name="_Toc515545204"/>
      <w:bookmarkStart w:id="13" w:name="_Toc515545328"/>
      <w:r w:rsidRPr="00FF157A">
        <w:t>Assessment t</w:t>
      </w:r>
      <w:r w:rsidR="003B201B" w:rsidRPr="00FF157A">
        <w:t>eam members will</w:t>
      </w:r>
      <w:r w:rsidR="00AF2ED0" w:rsidRPr="00FF157A">
        <w:t xml:space="preserve"> be responsible for</w:t>
      </w:r>
      <w:r w:rsidR="006C100C">
        <w:t xml:space="preserve"> identifying</w:t>
      </w:r>
      <w:r w:rsidR="003B201B" w:rsidRPr="00FF157A">
        <w:t>:</w:t>
      </w:r>
      <w:bookmarkEnd w:id="10"/>
      <w:bookmarkEnd w:id="11"/>
      <w:bookmarkEnd w:id="12"/>
      <w:bookmarkEnd w:id="13"/>
    </w:p>
    <w:p w:rsidR="003B201B" w:rsidRPr="006C100C" w:rsidRDefault="00976117" w:rsidP="006C100C">
      <w:pPr>
        <w:pStyle w:val="Heading3A"/>
        <w:rPr>
          <w:rStyle w:val="SubtleEmphasis"/>
          <w:rFonts w:asciiTheme="minorHAnsi" w:hAnsiTheme="minorHAnsi" w:cs="Segoe UI"/>
          <w:i w:val="0"/>
          <w:iCs w:val="0"/>
          <w:sz w:val="26"/>
          <w:szCs w:val="26"/>
        </w:rPr>
      </w:pPr>
      <w:bookmarkStart w:id="14" w:name="_Toc510441378"/>
      <w:bookmarkStart w:id="15" w:name="_Toc510627318"/>
      <w:bookmarkStart w:id="16" w:name="_Toc515545205"/>
      <w:bookmarkStart w:id="17" w:name="_Toc515545329"/>
      <w:r w:rsidRPr="006C100C">
        <w:rPr>
          <w:rStyle w:val="Heading3Char"/>
          <w:rFonts w:cs="Segoe UI"/>
          <w:b w:val="0"/>
        </w:rPr>
        <w:t>R</w:t>
      </w:r>
      <w:r w:rsidR="003B201B" w:rsidRPr="006C100C">
        <w:rPr>
          <w:rStyle w:val="Heading3Char"/>
          <w:rFonts w:cs="Segoe UI"/>
          <w:b w:val="0"/>
        </w:rPr>
        <w:t xml:space="preserve">esources </w:t>
      </w:r>
      <w:r w:rsidR="00275887" w:rsidRPr="006C100C">
        <w:rPr>
          <w:rStyle w:val="Heading3Char"/>
          <w:rFonts w:cs="Segoe UI"/>
          <w:b w:val="0"/>
        </w:rPr>
        <w:t xml:space="preserve">essential </w:t>
      </w:r>
      <w:r w:rsidR="003B201B" w:rsidRPr="006C100C">
        <w:rPr>
          <w:rStyle w:val="Heading3Char"/>
          <w:rFonts w:cs="Segoe UI"/>
          <w:b w:val="0"/>
        </w:rPr>
        <w:t xml:space="preserve">to operations and services </w:t>
      </w:r>
      <w:r w:rsidR="00891A92" w:rsidRPr="006C100C">
        <w:rPr>
          <w:rStyle w:val="Heading3Char"/>
          <w:rFonts w:cs="Segoe UI"/>
          <w:b w:val="0"/>
        </w:rPr>
        <w:t xml:space="preserve">within </w:t>
      </w:r>
      <w:r w:rsidR="00AF2ED0" w:rsidRPr="006C100C">
        <w:rPr>
          <w:rStyle w:val="Heading3Char"/>
          <w:rFonts w:cs="Segoe UI"/>
          <w:b w:val="0"/>
        </w:rPr>
        <w:t>areas of responsibility;</w:t>
      </w:r>
      <w:bookmarkEnd w:id="14"/>
      <w:bookmarkEnd w:id="15"/>
      <w:bookmarkEnd w:id="16"/>
      <w:bookmarkEnd w:id="17"/>
    </w:p>
    <w:p w:rsidR="00CD7AB7" w:rsidRPr="006C100C" w:rsidRDefault="00976117" w:rsidP="006C100C">
      <w:pPr>
        <w:pStyle w:val="Heading3A"/>
        <w:rPr>
          <w:rStyle w:val="Heading3Char"/>
          <w:rFonts w:cs="Segoe UI"/>
          <w:b w:val="0"/>
        </w:rPr>
      </w:pPr>
      <w:bookmarkStart w:id="18" w:name="_Toc510441379"/>
      <w:bookmarkStart w:id="19" w:name="_Toc510627319"/>
      <w:bookmarkStart w:id="20" w:name="_Toc515545206"/>
      <w:bookmarkStart w:id="21" w:name="_Toc515545330"/>
      <w:r w:rsidRPr="006C100C">
        <w:rPr>
          <w:rStyle w:val="Heading3Char"/>
          <w:rFonts w:cs="Segoe UI"/>
          <w:b w:val="0"/>
        </w:rPr>
        <w:t>I</w:t>
      </w:r>
      <w:r w:rsidR="003B201B" w:rsidRPr="006C100C">
        <w:rPr>
          <w:rStyle w:val="Heading3Char"/>
          <w:rFonts w:cs="Segoe UI"/>
          <w:b w:val="0"/>
        </w:rPr>
        <w:t>nventory and consumption data for identified resources</w:t>
      </w:r>
      <w:bookmarkStart w:id="22" w:name="_Toc510441380"/>
      <w:bookmarkEnd w:id="18"/>
      <w:r w:rsidR="00891A92" w:rsidRPr="006C100C">
        <w:rPr>
          <w:rStyle w:val="Heading3Char"/>
          <w:rFonts w:cs="Segoe UI"/>
          <w:b w:val="0"/>
        </w:rPr>
        <w:t>;</w:t>
      </w:r>
      <w:bookmarkStart w:id="23" w:name="_Toc510627320"/>
      <w:bookmarkEnd w:id="19"/>
      <w:bookmarkEnd w:id="20"/>
      <w:bookmarkEnd w:id="21"/>
    </w:p>
    <w:p w:rsidR="001A66E1" w:rsidRDefault="00976117" w:rsidP="006C100C">
      <w:pPr>
        <w:pStyle w:val="Heading3A"/>
      </w:pPr>
      <w:bookmarkStart w:id="24" w:name="_Toc515545207"/>
      <w:bookmarkStart w:id="25" w:name="_Toc515545331"/>
      <w:r w:rsidRPr="006C100C">
        <w:rPr>
          <w:rStyle w:val="Heading3Char"/>
          <w:rFonts w:cs="Segoe UI"/>
          <w:b w:val="0"/>
        </w:rPr>
        <w:t>C</w:t>
      </w:r>
      <w:r w:rsidR="003B201B" w:rsidRPr="006C100C">
        <w:rPr>
          <w:rStyle w:val="Heading3Char"/>
          <w:rFonts w:cs="Segoe UI"/>
          <w:b w:val="0"/>
        </w:rPr>
        <w:t xml:space="preserve">onservation </w:t>
      </w:r>
      <w:r w:rsidR="00275887" w:rsidRPr="006C100C">
        <w:rPr>
          <w:rStyle w:val="Heading3Char"/>
          <w:rFonts w:cs="Segoe UI"/>
          <w:b w:val="0"/>
        </w:rPr>
        <w:t xml:space="preserve">and mitigation </w:t>
      </w:r>
      <w:r w:rsidR="003B201B" w:rsidRPr="006C100C">
        <w:rPr>
          <w:rStyle w:val="Heading3Char"/>
          <w:rFonts w:cs="Segoe UI"/>
          <w:b w:val="0"/>
        </w:rPr>
        <w:t>strategies</w:t>
      </w:r>
      <w:bookmarkEnd w:id="22"/>
      <w:bookmarkEnd w:id="23"/>
      <w:r w:rsidR="006C100C" w:rsidRPr="006C100C">
        <w:t>.</w:t>
      </w:r>
      <w:bookmarkEnd w:id="24"/>
      <w:bookmarkEnd w:id="25"/>
    </w:p>
    <w:p w:rsidR="00D03F5D" w:rsidRPr="005126B5" w:rsidRDefault="00D22036" w:rsidP="005126B5">
      <w:pPr>
        <w:pStyle w:val="Heading2"/>
      </w:pPr>
      <w:bookmarkStart w:id="26" w:name="_Toc515545332"/>
      <w:r w:rsidRPr="005126B5">
        <w:t xml:space="preserve">Determine </w:t>
      </w:r>
      <w:r w:rsidR="00D03F5D" w:rsidRPr="005126B5">
        <w:t>Planning Scenario</w:t>
      </w:r>
      <w:r w:rsidR="00F71337" w:rsidRPr="005126B5">
        <w:t xml:space="preserve"> &amp; Assumptions</w:t>
      </w:r>
      <w:bookmarkEnd w:id="26"/>
    </w:p>
    <w:p w:rsidR="002B1B33" w:rsidRPr="00FF157A" w:rsidRDefault="00D03F5D" w:rsidP="006C100C">
      <w:pPr>
        <w:pStyle w:val="Heading3"/>
      </w:pPr>
      <w:bookmarkStart w:id="27" w:name="_Toc510441382"/>
      <w:bookmarkStart w:id="28" w:name="_Toc510627322"/>
      <w:bookmarkStart w:id="29" w:name="_Toc515545209"/>
      <w:bookmarkStart w:id="30" w:name="_Toc515545333"/>
      <w:r w:rsidRPr="00FF157A">
        <w:lastRenderedPageBreak/>
        <w:t xml:space="preserve">Select </w:t>
      </w:r>
      <w:r w:rsidR="00891A92" w:rsidRPr="00FF157A">
        <w:t>a</w:t>
      </w:r>
      <w:r w:rsidRPr="00FF157A">
        <w:t xml:space="preserve"> </w:t>
      </w:r>
      <w:r w:rsidR="00891A92" w:rsidRPr="00FF157A">
        <w:t xml:space="preserve">planning scenario </w:t>
      </w:r>
      <w:r w:rsidRPr="00FF157A">
        <w:t xml:space="preserve">for which to </w:t>
      </w:r>
      <w:r w:rsidRPr="005773C2">
        <w:t>conduct</w:t>
      </w:r>
      <w:r w:rsidRPr="00FF157A">
        <w:t xml:space="preserve"> the assessment.</w:t>
      </w:r>
      <w:bookmarkEnd w:id="27"/>
      <w:bookmarkEnd w:id="28"/>
      <w:bookmarkEnd w:id="29"/>
      <w:bookmarkEnd w:id="30"/>
      <w:r w:rsidRPr="00FF157A">
        <w:t xml:space="preserve">  </w:t>
      </w:r>
    </w:p>
    <w:p w:rsidR="00D03F5D" w:rsidRPr="005773C2" w:rsidRDefault="00D03F5D" w:rsidP="00FE3A8D">
      <w:pPr>
        <w:pStyle w:val="SmallText"/>
      </w:pPr>
      <w:r w:rsidRPr="005773C2">
        <w:t xml:space="preserve">You may choose a scenario that is high on your HVA </w:t>
      </w:r>
      <w:r w:rsidR="00866EF8" w:rsidRPr="005773C2">
        <w:t xml:space="preserve">and would likely impact the normal consumption and supply of </w:t>
      </w:r>
      <w:r w:rsidR="00891A92" w:rsidRPr="005773C2">
        <w:t>resources (</w:t>
      </w:r>
      <w:r w:rsidRPr="005773C2">
        <w:t xml:space="preserve">e.g. severe weather, pandemic, etc.) or use an all-hazards approach. </w:t>
      </w:r>
    </w:p>
    <w:p w:rsidR="00F00F1D" w:rsidRPr="00EA56CE" w:rsidRDefault="00E84F5B" w:rsidP="006C100C">
      <w:pPr>
        <w:pStyle w:val="Heading3"/>
      </w:pPr>
      <w:bookmarkStart w:id="31" w:name="_Toc510441383"/>
      <w:bookmarkStart w:id="32" w:name="_Toc510627323"/>
      <w:bookmarkStart w:id="33" w:name="_Toc515545210"/>
      <w:bookmarkStart w:id="34" w:name="_Toc515545334"/>
      <w:r w:rsidRPr="00EA56CE">
        <w:t>A</w:t>
      </w:r>
      <w:r w:rsidR="00D03F5D" w:rsidRPr="00EA56CE">
        <w:t xml:space="preserve">pply </w:t>
      </w:r>
      <w:r w:rsidR="00D03F5D" w:rsidRPr="007A17CF">
        <w:t>reasonable</w:t>
      </w:r>
      <w:r w:rsidR="00D03F5D" w:rsidRPr="00EA56CE">
        <w:t xml:space="preserve"> ass</w:t>
      </w:r>
      <w:r w:rsidR="00F00F1D" w:rsidRPr="00EA56CE">
        <w:t>umptions based on the scenario.</w:t>
      </w:r>
      <w:bookmarkEnd w:id="31"/>
      <w:bookmarkEnd w:id="32"/>
      <w:bookmarkEnd w:id="33"/>
      <w:bookmarkEnd w:id="34"/>
    </w:p>
    <w:p w:rsidR="002B3478" w:rsidRPr="00FF157A" w:rsidRDefault="002B3478" w:rsidP="00FE3A8D">
      <w:pPr>
        <w:pStyle w:val="SmallText"/>
      </w:pPr>
      <w:r w:rsidRPr="00FF157A">
        <w:t>Below are examples of reasonable assumptions that may be applied to weather scenario:</w:t>
      </w:r>
    </w:p>
    <w:p w:rsidR="002B3478" w:rsidRPr="00FE3A8D" w:rsidRDefault="002B3478" w:rsidP="00FE3A8D">
      <w:pPr>
        <w:pStyle w:val="SmallTextBullet"/>
      </w:pPr>
      <w:r w:rsidRPr="00FE3A8D">
        <w:t>Communications networks across the area are effected;</w:t>
      </w:r>
    </w:p>
    <w:p w:rsidR="002B3478" w:rsidRPr="00FF157A" w:rsidRDefault="002B3478" w:rsidP="00FE3A8D">
      <w:pPr>
        <w:pStyle w:val="SmallTextBullet"/>
      </w:pPr>
      <w:r w:rsidRPr="00FF157A">
        <w:t>Electrical power is out in the community;</w:t>
      </w:r>
    </w:p>
    <w:p w:rsidR="002B3478" w:rsidRPr="00FF157A" w:rsidRDefault="002B3478" w:rsidP="00FE3A8D">
      <w:pPr>
        <w:pStyle w:val="SmallTextBullet"/>
      </w:pPr>
      <w:r w:rsidRPr="00FF157A">
        <w:t>Sewer systems become non-functional due to loss of power to sewage lift stations;</w:t>
      </w:r>
    </w:p>
    <w:p w:rsidR="002B3478" w:rsidRPr="00FF157A" w:rsidRDefault="002B3478" w:rsidP="00FE3A8D">
      <w:pPr>
        <w:pStyle w:val="SmallTextBullet"/>
      </w:pPr>
      <w:r w:rsidRPr="00FF157A">
        <w:t>Emergency generators at the inpatient facility are functional and running;</w:t>
      </w:r>
    </w:p>
    <w:p w:rsidR="002B3478" w:rsidRPr="00FF157A" w:rsidRDefault="002B3478" w:rsidP="00FE3A8D">
      <w:pPr>
        <w:pStyle w:val="SmallTextBullet"/>
      </w:pPr>
      <w:r w:rsidRPr="00FF157A">
        <w:t>Many employees are unable to get to work due road conditions;</w:t>
      </w:r>
    </w:p>
    <w:p w:rsidR="002B3478" w:rsidRPr="00FF157A" w:rsidRDefault="002B3478" w:rsidP="00FE3A8D">
      <w:pPr>
        <w:pStyle w:val="SmallTextBullet"/>
      </w:pPr>
      <w:r w:rsidRPr="00FF157A">
        <w:t xml:space="preserve">Assume normal levels of </w:t>
      </w:r>
      <w:r w:rsidR="00E84F5B" w:rsidRPr="00FF157A">
        <w:t xml:space="preserve">resources </w:t>
      </w:r>
      <w:r w:rsidRPr="00FF157A">
        <w:t xml:space="preserve">at onset of event; </w:t>
      </w:r>
    </w:p>
    <w:p w:rsidR="002B3478" w:rsidRPr="00FF157A" w:rsidRDefault="002B3478" w:rsidP="00FE3A8D">
      <w:pPr>
        <w:pStyle w:val="SmallTextBullet"/>
      </w:pPr>
      <w:r w:rsidRPr="00FF157A">
        <w:t>Some influx of patients.</w:t>
      </w:r>
    </w:p>
    <w:p w:rsidR="00D03F5D" w:rsidRPr="00643A02" w:rsidRDefault="00D22036" w:rsidP="005126B5">
      <w:pPr>
        <w:pStyle w:val="Heading2"/>
      </w:pPr>
      <w:bookmarkStart w:id="35" w:name="_Identify_Essential_Resources"/>
      <w:bookmarkStart w:id="36" w:name="_Toc515545335"/>
      <w:bookmarkEnd w:id="35"/>
      <w:r w:rsidRPr="00643A02">
        <w:t xml:space="preserve">Identify </w:t>
      </w:r>
      <w:r w:rsidR="00D03F5D" w:rsidRPr="00643A02">
        <w:t xml:space="preserve">Essential </w:t>
      </w:r>
      <w:r w:rsidR="00D03F5D" w:rsidRPr="006C100C">
        <w:t>Resources</w:t>
      </w:r>
      <w:bookmarkEnd w:id="36"/>
      <w:r w:rsidR="00D03F5D" w:rsidRPr="00643A02">
        <w:t xml:space="preserve">  </w:t>
      </w:r>
    </w:p>
    <w:p w:rsidR="00D03F5D" w:rsidRPr="00F81D37" w:rsidRDefault="00D03F5D" w:rsidP="006C100C">
      <w:pPr>
        <w:pStyle w:val="Heading3"/>
      </w:pPr>
      <w:bookmarkStart w:id="37" w:name="_Toc510441385"/>
      <w:bookmarkStart w:id="38" w:name="_Toc510627325"/>
      <w:bookmarkStart w:id="39" w:name="_Toc515545212"/>
      <w:bookmarkStart w:id="40" w:name="_Toc515545336"/>
      <w:r w:rsidRPr="00F81D37">
        <w:t xml:space="preserve">Distribute the 96 Hour </w:t>
      </w:r>
      <w:r w:rsidR="00965AEC" w:rsidRPr="00F81D37">
        <w:t xml:space="preserve">Operational Impact </w:t>
      </w:r>
      <w:r w:rsidR="008B401C" w:rsidRPr="00F81D37">
        <w:t>Chart</w:t>
      </w:r>
      <w:r w:rsidR="00965AEC" w:rsidRPr="00F81D37">
        <w:t xml:space="preserve"> to Assessment T</w:t>
      </w:r>
      <w:r w:rsidRPr="00F81D37">
        <w:t>eam.</w:t>
      </w:r>
      <w:bookmarkEnd w:id="37"/>
      <w:bookmarkEnd w:id="38"/>
      <w:bookmarkEnd w:id="39"/>
      <w:bookmarkEnd w:id="40"/>
    </w:p>
    <w:p w:rsidR="00E84F5B" w:rsidRPr="00643A02" w:rsidRDefault="00D03F5D" w:rsidP="006C100C">
      <w:pPr>
        <w:pStyle w:val="Heading3"/>
      </w:pPr>
      <w:bookmarkStart w:id="41" w:name="_Toc510441386"/>
      <w:bookmarkStart w:id="42" w:name="_Toc510627326"/>
      <w:bookmarkStart w:id="43" w:name="_Toc515545213"/>
      <w:bookmarkStart w:id="44" w:name="_Toc515545337"/>
      <w:r w:rsidRPr="00643A02">
        <w:t>Determine the resources essential to maintain</w:t>
      </w:r>
      <w:r w:rsidR="00607EA7" w:rsidRPr="00643A02">
        <w:t>ing</w:t>
      </w:r>
      <w:r w:rsidRPr="00643A02">
        <w:t xml:space="preserve"> operations during the</w:t>
      </w:r>
      <w:r w:rsidR="00607EA7" w:rsidRPr="00643A02">
        <w:t xml:space="preserve"> scenario</w:t>
      </w:r>
      <w:r w:rsidRPr="00643A02">
        <w:t>.</w:t>
      </w:r>
      <w:bookmarkEnd w:id="41"/>
      <w:bookmarkEnd w:id="42"/>
      <w:bookmarkEnd w:id="43"/>
      <w:bookmarkEnd w:id="44"/>
      <w:r w:rsidRPr="00643A02">
        <w:t xml:space="preserve"> </w:t>
      </w:r>
    </w:p>
    <w:p w:rsidR="00D03F5D" w:rsidRPr="007D4141" w:rsidRDefault="00D03F5D" w:rsidP="00FE3A8D">
      <w:pPr>
        <w:pStyle w:val="SmallText"/>
      </w:pPr>
      <w:r w:rsidRPr="007D4141">
        <w:t xml:space="preserve">It is recommended </w:t>
      </w:r>
      <w:r w:rsidR="00064C18" w:rsidRPr="007D4141">
        <w:t xml:space="preserve">resource </w:t>
      </w:r>
      <w:r w:rsidRPr="007D4141">
        <w:t>determinations be made or r</w:t>
      </w:r>
      <w:r w:rsidR="007D4141" w:rsidRPr="007D4141">
        <w:t xml:space="preserve">eviewed by the Assessment Team </w:t>
      </w:r>
      <w:r w:rsidRPr="007D4141">
        <w:t xml:space="preserve">or </w:t>
      </w:r>
      <w:r w:rsidR="00F54504" w:rsidRPr="007D4141">
        <w:t>other multi-disciplinary</w:t>
      </w:r>
      <w:r w:rsidR="007D4141" w:rsidRPr="007D4141">
        <w:t xml:space="preserve"> committee</w:t>
      </w:r>
      <w:r w:rsidR="00F54504" w:rsidRPr="007D4141">
        <w:t xml:space="preserve">. </w:t>
      </w:r>
      <w:r w:rsidRPr="007D4141">
        <w:t xml:space="preserve">The </w:t>
      </w:r>
      <w:r w:rsidR="008B401C" w:rsidRPr="007D4141">
        <w:t>Chart</w:t>
      </w:r>
      <w:r w:rsidRPr="007D4141">
        <w:t xml:space="preserve"> is pre-populated with some generally applicable resources that the Assessment Team should modify based on facility o</w:t>
      </w:r>
      <w:r w:rsidR="00607EA7" w:rsidRPr="007D4141">
        <w:t>perations and the scenario</w:t>
      </w:r>
      <w:r w:rsidRPr="007D4141">
        <w:t>. Yo</w:t>
      </w:r>
      <w:r w:rsidR="00607EA7" w:rsidRPr="007D4141">
        <w:t>u may delete, add and itemize this list</w:t>
      </w:r>
      <w:r w:rsidRPr="007D4141">
        <w:t>.</w:t>
      </w:r>
    </w:p>
    <w:bookmarkStart w:id="45" w:name="_Assemble_Data"/>
    <w:bookmarkStart w:id="46" w:name="_Toc515545344"/>
    <w:bookmarkEnd w:id="45"/>
    <w:p w:rsidR="009A283A" w:rsidRPr="005A160D" w:rsidRDefault="00FE3A8D" w:rsidP="005126B5">
      <w:pPr>
        <w:pStyle w:val="Heading2"/>
      </w:pPr>
      <w:r w:rsidRPr="0028016A">
        <w:rPr>
          <w:rFonts w:cstheme="minorBidi"/>
          <w:noProof/>
          <w:lang w:eastAsia="en-US"/>
        </w:rPr>
        <mc:AlternateContent>
          <mc:Choice Requires="wps">
            <w:drawing>
              <wp:anchor distT="0" distB="0" distL="114300" distR="114300" simplePos="0" relativeHeight="251668480" behindDoc="0" locked="1" layoutInCell="1" allowOverlap="0" wp14:anchorId="174596BD" wp14:editId="63B489E6">
                <wp:simplePos x="0" y="0"/>
                <wp:positionH relativeFrom="column">
                  <wp:posOffset>-91440</wp:posOffset>
                </wp:positionH>
                <wp:positionV relativeFrom="paragraph">
                  <wp:posOffset>365125</wp:posOffset>
                </wp:positionV>
                <wp:extent cx="6839585" cy="3095625"/>
                <wp:effectExtent l="0" t="0" r="1841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095625"/>
                        </a:xfrm>
                        <a:prstGeom prst="rect">
                          <a:avLst/>
                        </a:prstGeom>
                        <a:noFill/>
                        <a:ln w="12700">
                          <a:gradFill>
                            <a:gsLst>
                              <a:gs pos="7000">
                                <a:srgbClr val="4F81BD">
                                  <a:lumMod val="5000"/>
                                  <a:lumOff val="95000"/>
                                </a:srgbClr>
                              </a:gs>
                              <a:gs pos="74000">
                                <a:srgbClr val="C0504D">
                                  <a:lumMod val="50000"/>
                                  <a:alpha val="58000"/>
                                </a:srgbClr>
                              </a:gs>
                              <a:gs pos="66000">
                                <a:srgbClr val="C0504D">
                                  <a:lumMod val="50000"/>
                                  <a:alpha val="70000"/>
                                </a:srgbClr>
                              </a:gs>
                              <a:gs pos="100000">
                                <a:srgbClr val="C0504D">
                                  <a:lumMod val="50000"/>
                                </a:srgbClr>
                              </a:gs>
                            </a:gsLst>
                            <a:lin ang="5400000" scaled="1"/>
                          </a:gradFill>
                          <a:miter lim="800000"/>
                          <a:headEnd/>
                          <a:tailEnd/>
                        </a:ln>
                      </wps:spPr>
                      <wps:txbx>
                        <w:txbxContent>
                          <w:p w:rsidR="000A56A9" w:rsidRPr="00885EF2" w:rsidRDefault="000A56A9" w:rsidP="00885EF2">
                            <w:pPr>
                              <w:pStyle w:val="BulletNormalText"/>
                              <w:spacing w:before="0" w:line="216" w:lineRule="auto"/>
                              <w:rPr>
                                <w:b w:val="0"/>
                                <w:sz w:val="25"/>
                              </w:rPr>
                            </w:pPr>
                            <w:bookmarkStart w:id="47" w:name="_Toc515545338"/>
                            <w:r w:rsidRPr="00885EF2">
                              <w:rPr>
                                <w:b w:val="0"/>
                                <w:sz w:val="25"/>
                              </w:rPr>
                              <w:t>For consumable resources which may be quantified (i.e. counted) the following data will be required in order to determine Sustainability Periods:</w:t>
                            </w:r>
                            <w:bookmarkEnd w:id="47"/>
                          </w:p>
                          <w:p w:rsidR="000A56A9" w:rsidRPr="00885EF2" w:rsidRDefault="000A56A9" w:rsidP="00B673AA">
                            <w:pPr>
                              <w:pStyle w:val="BulletNormalText"/>
                              <w:spacing w:before="20" w:line="216" w:lineRule="auto"/>
                              <w:ind w:left="1368"/>
                              <w:rPr>
                                <w:b w:val="0"/>
                                <w:sz w:val="25"/>
                              </w:rPr>
                            </w:pPr>
                            <w:bookmarkStart w:id="48" w:name="_Toc515544668"/>
                            <w:bookmarkStart w:id="49" w:name="_Toc515545216"/>
                            <w:bookmarkStart w:id="50" w:name="_Toc515545339"/>
                            <w:r w:rsidRPr="00885EF2">
                              <w:rPr>
                                <w:b w:val="0"/>
                                <w:sz w:val="25"/>
                              </w:rPr>
                              <w:t>Average Daily Census</w:t>
                            </w:r>
                            <w:bookmarkEnd w:id="48"/>
                            <w:bookmarkEnd w:id="49"/>
                            <w:bookmarkEnd w:id="50"/>
                          </w:p>
                          <w:p w:rsidR="000A56A9" w:rsidRPr="00885EF2" w:rsidRDefault="000A56A9" w:rsidP="00B673AA">
                            <w:pPr>
                              <w:pStyle w:val="BulletNormalText"/>
                              <w:spacing w:before="20" w:line="216" w:lineRule="auto"/>
                              <w:ind w:left="1368"/>
                              <w:rPr>
                                <w:b w:val="0"/>
                                <w:sz w:val="25"/>
                              </w:rPr>
                            </w:pPr>
                            <w:bookmarkStart w:id="51" w:name="_Toc515544669"/>
                            <w:bookmarkStart w:id="52" w:name="_Toc515545217"/>
                            <w:bookmarkStart w:id="53" w:name="_Toc515545340"/>
                            <w:r w:rsidRPr="00885EF2">
                              <w:rPr>
                                <w:b w:val="0"/>
                                <w:sz w:val="25"/>
                              </w:rPr>
                              <w:t>Annual Consumption Rate of Resources</w:t>
                            </w:r>
                            <w:bookmarkEnd w:id="51"/>
                            <w:bookmarkEnd w:id="52"/>
                            <w:bookmarkEnd w:id="53"/>
                          </w:p>
                          <w:p w:rsidR="000A56A9" w:rsidRPr="00885EF2" w:rsidRDefault="000A56A9" w:rsidP="00B673AA">
                            <w:pPr>
                              <w:pStyle w:val="BulletNormalText"/>
                              <w:spacing w:before="20" w:after="80" w:line="216" w:lineRule="auto"/>
                              <w:ind w:left="1368"/>
                              <w:rPr>
                                <w:b w:val="0"/>
                                <w:sz w:val="25"/>
                              </w:rPr>
                            </w:pPr>
                            <w:bookmarkStart w:id="54" w:name="_Toc515545218"/>
                            <w:bookmarkStart w:id="55" w:name="_Toc515545341"/>
                            <w:r w:rsidRPr="00885EF2">
                              <w:rPr>
                                <w:b w:val="0"/>
                                <w:sz w:val="25"/>
                              </w:rPr>
                              <w:t>Actual Inventory Quantity of Resource</w:t>
                            </w:r>
                            <w:bookmarkEnd w:id="54"/>
                            <w:bookmarkEnd w:id="55"/>
                          </w:p>
                          <w:p w:rsidR="000A56A9" w:rsidRPr="00B673AA" w:rsidRDefault="000A56A9" w:rsidP="00CA3862">
                            <w:pPr>
                              <w:pStyle w:val="SmallText"/>
                              <w:ind w:left="504"/>
                              <w:rPr>
                                <w:sz w:val="21"/>
                              </w:rPr>
                            </w:pPr>
                            <w:r w:rsidRPr="00B673AA">
                              <w:rPr>
                                <w:sz w:val="21"/>
                              </w:rPr>
                              <w:t>A general rule is that if the resources are consumable and can be counted (quantified), the Calculator may be used to determine sustainability. Resources pre-populated in Bold are considered consumable. Determining the consumption rate of essential resources, including staffing, depends on the number of individuals (patients, support staff, and visitors) in the facility and the quantities of resources available. Accomplishing this requires an Average Daily Patient Census and a Resource Inventory. “Consumption” includes materials or staff utilized in providing patient care. Average baseline information on patients receiving care, and resources consumed by these patients, including staff and visitors associated with the patients, is critical. Once these key elements are determined, the organization can develop a decision process for sustaining services during an event.</w:t>
                            </w:r>
                          </w:p>
                          <w:p w:rsidR="000A56A9" w:rsidRPr="00885EF2" w:rsidRDefault="000A56A9" w:rsidP="00B673AA">
                            <w:pPr>
                              <w:pStyle w:val="BulletNormalText"/>
                              <w:spacing w:before="60" w:line="216" w:lineRule="auto"/>
                              <w:rPr>
                                <w:b w:val="0"/>
                                <w:sz w:val="25"/>
                              </w:rPr>
                            </w:pPr>
                            <w:bookmarkStart w:id="56" w:name="_Toc515544670"/>
                            <w:bookmarkStart w:id="57" w:name="_Toc515545219"/>
                            <w:bookmarkStart w:id="58" w:name="_Toc515545342"/>
                            <w:r w:rsidRPr="00885EF2">
                              <w:rPr>
                                <w:b w:val="0"/>
                                <w:sz w:val="25"/>
                              </w:rPr>
                              <w:t>For resources which are non-consumable or for which consumption rates cannot be quantified, reasonable planning assumptions should be applied by the Assessment Team.</w:t>
                            </w:r>
                            <w:bookmarkEnd w:id="56"/>
                            <w:bookmarkEnd w:id="57"/>
                            <w:bookmarkEnd w:id="58"/>
                          </w:p>
                          <w:p w:rsidR="000A56A9" w:rsidRPr="002B1CB4" w:rsidRDefault="000A56A9" w:rsidP="00CA3862">
                            <w:pPr>
                              <w:spacing w:before="20" w:after="0"/>
                              <w:ind w:left="504"/>
                              <w:rPr>
                                <w:rStyle w:val="SubtleEmphasis"/>
                              </w:rPr>
                            </w:pPr>
                            <w:r w:rsidRPr="002B1CB4">
                              <w:rPr>
                                <w:rStyle w:val="SubtleEmphasis"/>
                              </w:rPr>
                              <w:t xml:space="preserve">Example: Elevator is either working or not working, dependent on Normal or Emergency Electrical System. </w:t>
                            </w:r>
                          </w:p>
                          <w:p w:rsidR="000A56A9" w:rsidRPr="00885EF2" w:rsidRDefault="000A56A9" w:rsidP="00B673AA">
                            <w:pPr>
                              <w:pStyle w:val="BulletNormalText"/>
                              <w:spacing w:before="60" w:line="216" w:lineRule="auto"/>
                              <w:rPr>
                                <w:b w:val="0"/>
                                <w:sz w:val="25"/>
                              </w:rPr>
                            </w:pPr>
                            <w:bookmarkStart w:id="59" w:name="_Toc515544671"/>
                            <w:bookmarkStart w:id="60" w:name="_Toc515545220"/>
                            <w:bookmarkStart w:id="61" w:name="_Toc515545343"/>
                            <w:r w:rsidRPr="00885EF2">
                              <w:rPr>
                                <w:b w:val="0"/>
                                <w:sz w:val="25"/>
                              </w:rPr>
                              <w:t>If the Sustainability Period of a resource has been determined using other quantitative methodology, document the data and calculations for review by the Assessment Team.</w:t>
                            </w:r>
                            <w:bookmarkEnd w:id="59"/>
                            <w:bookmarkEnd w:id="60"/>
                            <w:bookmarkEnd w:id="61"/>
                          </w:p>
                        </w:txbxContent>
                      </wps:txbx>
                      <wps:bodyPr rot="0" vert="horz" wrap="square" lIns="45720" tIns="0" rIns="182880" bIns="73152"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4596BD" id="_x0000_t202" coordsize="21600,21600" o:spt="202" path="m,l,21600r21600,l21600,xe">
                <v:stroke joinstyle="miter"/>
                <v:path gradientshapeok="t" o:connecttype="rect"/>
              </v:shapetype>
              <v:shape id="Text Box 2" o:spid="_x0000_s1026" type="#_x0000_t202" style="position:absolute;left:0;text-align:left;margin-left:-7.2pt;margin-top:28.75pt;width:538.55pt;height:2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" o:allowoverlap="f" filled="f" strokeweight="1pt">
                <v:textbox inset="3.6pt,0,14.4pt,5.76pt">
                  <w:txbxContent>
                    <w:p w:rsidR="000A56A9" w:rsidRPr="00885EF2" w:rsidRDefault="000A56A9" w:rsidP="00885EF2">
                      <w:pPr>
                        <w:pStyle w:val="BulletNormalText"/>
                        <w:spacing w:before="0" w:line="216" w:lineRule="auto"/>
                        <w:rPr>
                          <w:b w:val="0"/>
                          <w:sz w:val="25"/>
                        </w:rPr>
                      </w:pPr>
                      <w:bookmarkStart w:id="61" w:name="_Toc515545338"/>
                      <w:r w:rsidRPr="00885EF2">
                        <w:rPr>
                          <w:b w:val="0"/>
                          <w:sz w:val="25"/>
                        </w:rPr>
                        <w:t>For consumable resources which may be quantified (i.e. counted) the following data will be required in order to determine Sustainability Periods:</w:t>
                      </w:r>
                      <w:bookmarkEnd w:id="61"/>
                    </w:p>
                    <w:p w:rsidR="000A56A9" w:rsidRPr="00885EF2" w:rsidRDefault="000A56A9" w:rsidP="00B673AA">
                      <w:pPr>
                        <w:pStyle w:val="BulletNormalText"/>
                        <w:spacing w:before="20" w:line="216" w:lineRule="auto"/>
                        <w:ind w:left="1368"/>
                        <w:rPr>
                          <w:b w:val="0"/>
                          <w:sz w:val="25"/>
                        </w:rPr>
                      </w:pPr>
                      <w:bookmarkStart w:id="62" w:name="_Toc515544668"/>
                      <w:bookmarkStart w:id="63" w:name="_Toc515545216"/>
                      <w:bookmarkStart w:id="64" w:name="_Toc515545339"/>
                      <w:r w:rsidRPr="00885EF2">
                        <w:rPr>
                          <w:b w:val="0"/>
                          <w:sz w:val="25"/>
                        </w:rPr>
                        <w:t>Average Daily Census</w:t>
                      </w:r>
                      <w:bookmarkEnd w:id="62"/>
                      <w:bookmarkEnd w:id="63"/>
                      <w:bookmarkEnd w:id="64"/>
                    </w:p>
                    <w:p w:rsidR="000A56A9" w:rsidRPr="00885EF2" w:rsidRDefault="000A56A9" w:rsidP="00B673AA">
                      <w:pPr>
                        <w:pStyle w:val="BulletNormalText"/>
                        <w:spacing w:before="20" w:line="216" w:lineRule="auto"/>
                        <w:ind w:left="1368"/>
                        <w:rPr>
                          <w:b w:val="0"/>
                          <w:sz w:val="25"/>
                        </w:rPr>
                      </w:pPr>
                      <w:bookmarkStart w:id="65" w:name="_Toc515544669"/>
                      <w:bookmarkStart w:id="66" w:name="_Toc515545217"/>
                      <w:bookmarkStart w:id="67" w:name="_Toc515545340"/>
                      <w:r w:rsidRPr="00885EF2">
                        <w:rPr>
                          <w:b w:val="0"/>
                          <w:sz w:val="25"/>
                        </w:rPr>
                        <w:t>Annual Consumption Rate of Resources</w:t>
                      </w:r>
                      <w:bookmarkEnd w:id="65"/>
                      <w:bookmarkEnd w:id="66"/>
                      <w:bookmarkEnd w:id="67"/>
                    </w:p>
                    <w:p w:rsidR="000A56A9" w:rsidRPr="00885EF2" w:rsidRDefault="000A56A9" w:rsidP="00B673AA">
                      <w:pPr>
                        <w:pStyle w:val="BulletNormalText"/>
                        <w:spacing w:before="20" w:after="80" w:line="216" w:lineRule="auto"/>
                        <w:ind w:left="1368"/>
                        <w:rPr>
                          <w:b w:val="0"/>
                          <w:sz w:val="25"/>
                        </w:rPr>
                      </w:pPr>
                      <w:bookmarkStart w:id="68" w:name="_Toc515545218"/>
                      <w:bookmarkStart w:id="69" w:name="_Toc515545341"/>
                      <w:r w:rsidRPr="00885EF2">
                        <w:rPr>
                          <w:b w:val="0"/>
                          <w:sz w:val="25"/>
                        </w:rPr>
                        <w:t>Actual Inventory Quantity of Resource</w:t>
                      </w:r>
                      <w:bookmarkEnd w:id="68"/>
                      <w:bookmarkEnd w:id="69"/>
                    </w:p>
                    <w:p w:rsidR="000A56A9" w:rsidRPr="00B673AA" w:rsidRDefault="000A56A9" w:rsidP="00CA3862">
                      <w:pPr>
                        <w:pStyle w:val="SmallText"/>
                        <w:ind w:left="504"/>
                        <w:rPr>
                          <w:sz w:val="21"/>
                        </w:rPr>
                      </w:pPr>
                      <w:r w:rsidRPr="00B673AA">
                        <w:rPr>
                          <w:sz w:val="21"/>
                        </w:rPr>
                        <w:t>A general rule is that if the resources are consumable and can be counted (quantified), the Calculator may be used to determine sustainability. Resources pre-populated in Bold are considered consumable. Determining the consumption rate of essential resources, including staffing, depends on the number of individuals (patients, support staff, and visitors) in the facility and the quantities of resources available. Accomplishing this requires an Average Daily Patient Census and a Resource Inventory. “Consumption” includes materials or staff utilized in providing patient care. Average baseline information on patients receiving care, and resources consumed by these patients, including staff and visitors associated with the patients, is critical. Once these key elements are determined, the organization can develop a decision process for sustaining services during an event.</w:t>
                      </w:r>
                    </w:p>
                    <w:p w:rsidR="000A56A9" w:rsidRPr="00885EF2" w:rsidRDefault="000A56A9" w:rsidP="00B673AA">
                      <w:pPr>
                        <w:pStyle w:val="BulletNormalText"/>
                        <w:spacing w:before="60" w:line="216" w:lineRule="auto"/>
                        <w:rPr>
                          <w:b w:val="0"/>
                          <w:sz w:val="25"/>
                        </w:rPr>
                      </w:pPr>
                      <w:bookmarkStart w:id="70" w:name="_Toc515544670"/>
                      <w:bookmarkStart w:id="71" w:name="_Toc515545219"/>
                      <w:bookmarkStart w:id="72" w:name="_Toc515545342"/>
                      <w:r w:rsidRPr="00885EF2">
                        <w:rPr>
                          <w:b w:val="0"/>
                          <w:sz w:val="25"/>
                        </w:rPr>
                        <w:t>For resources which are non-consumable or for which consumption rates cannot be quantified, reasonable planning assumptions should be applied by the Assessment Team.</w:t>
                      </w:r>
                      <w:bookmarkEnd w:id="70"/>
                      <w:bookmarkEnd w:id="71"/>
                      <w:bookmarkEnd w:id="72"/>
                    </w:p>
                    <w:p w:rsidR="000A56A9" w:rsidRPr="002B1CB4" w:rsidRDefault="000A56A9" w:rsidP="00CA3862">
                      <w:pPr>
                        <w:spacing w:before="20" w:after="0"/>
                        <w:ind w:left="504"/>
                        <w:rPr>
                          <w:rStyle w:val="SubtleEmphasis"/>
                        </w:rPr>
                      </w:pPr>
                      <w:r w:rsidRPr="002B1CB4">
                        <w:rPr>
                          <w:rStyle w:val="SubtleEmphasis"/>
                        </w:rPr>
                        <w:t xml:space="preserve">Example: Elevator is either working or not working, dependent on Normal or Emergency Electrical System. </w:t>
                      </w:r>
                    </w:p>
                    <w:p w:rsidR="000A56A9" w:rsidRPr="00885EF2" w:rsidRDefault="000A56A9" w:rsidP="00B673AA">
                      <w:pPr>
                        <w:pStyle w:val="BulletNormalText"/>
                        <w:spacing w:before="60" w:line="216" w:lineRule="auto"/>
                        <w:rPr>
                          <w:b w:val="0"/>
                          <w:sz w:val="25"/>
                        </w:rPr>
                      </w:pPr>
                      <w:bookmarkStart w:id="73" w:name="_Toc515544671"/>
                      <w:bookmarkStart w:id="74" w:name="_Toc515545220"/>
                      <w:bookmarkStart w:id="75" w:name="_Toc515545343"/>
                      <w:r w:rsidRPr="00885EF2">
                        <w:rPr>
                          <w:b w:val="0"/>
                          <w:sz w:val="25"/>
                        </w:rPr>
                        <w:t>If the Sustainability Period of a resource has been determined using other quantitative methodology, document the data and calculations for review by the Assessment Team.</w:t>
                      </w:r>
                      <w:bookmarkEnd w:id="73"/>
                      <w:bookmarkEnd w:id="74"/>
                      <w:bookmarkEnd w:id="75"/>
                    </w:p>
                  </w:txbxContent>
                </v:textbox>
                <w10:wrap type="topAndBottom"/>
                <w10:anchorlock/>
              </v:shape>
            </w:pict>
          </mc:Fallback>
        </mc:AlternateContent>
      </w:r>
      <w:r w:rsidR="00D22036">
        <w:t>Assemble Data</w:t>
      </w:r>
      <w:bookmarkStart w:id="62" w:name="_Toc510441388"/>
      <w:bookmarkEnd w:id="46"/>
    </w:p>
    <w:p w:rsidR="00CC4A9E" w:rsidRPr="005A160D" w:rsidRDefault="00376D6F" w:rsidP="00B673AA">
      <w:pPr>
        <w:pStyle w:val="Heading3"/>
        <w:spacing w:before="240"/>
      </w:pPr>
      <w:bookmarkStart w:id="63" w:name="_Toc510627328"/>
      <w:bookmarkStart w:id="64" w:name="_Toc515545221"/>
      <w:bookmarkStart w:id="65" w:name="_Toc515545345"/>
      <w:r>
        <w:rPr>
          <w:noProof/>
          <w:lang w:eastAsia="en-US"/>
        </w:rPr>
        <mc:AlternateContent>
          <mc:Choice Requires="wps">
            <w:drawing>
              <wp:anchor distT="0" distB="0" distL="91440" distR="0" simplePos="0" relativeHeight="251664384" behindDoc="1" locked="1" layoutInCell="1" allowOverlap="0" wp14:anchorId="201B2C72" wp14:editId="4D84C44A">
                <wp:simplePos x="0" y="0"/>
                <wp:positionH relativeFrom="column">
                  <wp:posOffset>4813935</wp:posOffset>
                </wp:positionH>
                <wp:positionV relativeFrom="paragraph">
                  <wp:posOffset>3282315</wp:posOffset>
                </wp:positionV>
                <wp:extent cx="1933575" cy="1362075"/>
                <wp:effectExtent l="0" t="0" r="9525" b="9525"/>
                <wp:wrapTight wrapText="left">
                  <wp:wrapPolygon edited="0">
                    <wp:start x="0" y="0"/>
                    <wp:lineTo x="0" y="21449"/>
                    <wp:lineTo x="21494" y="21449"/>
                    <wp:lineTo x="2149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62075"/>
                        </a:xfrm>
                        <a:prstGeom prst="rect">
                          <a:avLst/>
                        </a:prstGeom>
                        <a:solidFill>
                          <a:srgbClr val="FFFFFF"/>
                        </a:solidFill>
                        <a:ln w="9525">
                          <a:noFill/>
                          <a:miter lim="800000"/>
                          <a:headEnd/>
                          <a:tailEnd/>
                        </a:ln>
                      </wps:spPr>
                      <wps:txbx>
                        <w:txbxContent>
                          <w:tbl>
                            <w:tblPr>
                              <w:tblStyle w:val="TableGrid"/>
                              <w:tblOverlap w:val="never"/>
                              <w:tblW w:w="295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44" w:type="dxa"/>
                                <w:right w:w="144" w:type="dxa"/>
                              </w:tblCellMar>
                              <w:tblLook w:val="04A0" w:firstRow="1" w:lastRow="0" w:firstColumn="1" w:lastColumn="0" w:noHBand="0" w:noVBand="1"/>
                            </w:tblPr>
                            <w:tblGrid>
                              <w:gridCol w:w="1350"/>
                              <w:gridCol w:w="180"/>
                              <w:gridCol w:w="810"/>
                              <w:gridCol w:w="618"/>
                            </w:tblGrid>
                            <w:tr w:rsidR="000A56A9" w:rsidRPr="006177A8" w:rsidTr="00CA3862">
                              <w:trPr>
                                <w:trHeight w:val="144"/>
                                <w:jc w:val="center"/>
                              </w:trPr>
                              <w:tc>
                                <w:tcPr>
                                  <w:tcW w:w="1350" w:type="dxa"/>
                                  <w:tcBorders>
                                    <w:right w:val="nil"/>
                                  </w:tcBorders>
                                  <w:shd w:val="clear" w:color="auto" w:fill="F2F2F2" w:themeFill="background1" w:themeFillShade="F2"/>
                                  <w:noWrap/>
                                  <w:tcMar>
                                    <w:right w:w="29" w:type="dxa"/>
                                  </w:tcMar>
                                  <w:vAlign w:val="center"/>
                                  <w:hideMark/>
                                </w:tcPr>
                                <w:p w:rsidR="000A56A9" w:rsidRPr="001B3EE4" w:rsidRDefault="000A56A9" w:rsidP="00476BE6">
                                  <w:pPr>
                                    <w:pStyle w:val="TextBox"/>
                                    <w:spacing w:line="200" w:lineRule="exact"/>
                                    <w:rPr>
                                      <w:b/>
                                      <w:sz w:val="18"/>
                                    </w:rPr>
                                  </w:pPr>
                                  <w:r w:rsidRPr="001B3EE4">
                                    <w:rPr>
                                      <w:b/>
                                      <w:sz w:val="18"/>
                                    </w:rPr>
                                    <w:t xml:space="preserve">Patient Census   </w:t>
                                  </w:r>
                                </w:p>
                              </w:tc>
                              <w:tc>
                                <w:tcPr>
                                  <w:tcW w:w="1608" w:type="dxa"/>
                                  <w:gridSpan w:val="3"/>
                                  <w:tcBorders>
                                    <w:left w:val="nil"/>
                                  </w:tcBorders>
                                  <w:shd w:val="clear" w:color="auto" w:fill="F2F2F2" w:themeFill="background1" w:themeFillShade="F2"/>
                                  <w:tcMar>
                                    <w:left w:w="0" w:type="dxa"/>
                                    <w:right w:w="72" w:type="dxa"/>
                                  </w:tcMar>
                                  <w:vAlign w:val="center"/>
                                </w:tcPr>
                                <w:p w:rsidR="000A56A9" w:rsidRPr="00CA3862" w:rsidRDefault="000A56A9" w:rsidP="00CA3862">
                                  <w:pPr>
                                    <w:pStyle w:val="TextBox"/>
                                    <w:spacing w:line="200" w:lineRule="exact"/>
                                    <w:jc w:val="right"/>
                                    <w:rPr>
                                      <w:i/>
                                      <w:sz w:val="18"/>
                                    </w:rPr>
                                  </w:pPr>
                                  <w:r w:rsidRPr="00CA3862">
                                    <w:rPr>
                                      <w:i/>
                                      <w:sz w:val="18"/>
                                    </w:rPr>
                                    <w:t>Licensed beds = 200</w:t>
                                  </w:r>
                                </w:p>
                              </w:tc>
                            </w:tr>
                            <w:tr w:rsidR="000A56A9" w:rsidRPr="006177A8" w:rsidTr="00CA3862">
                              <w:trPr>
                                <w:trHeight w:val="144"/>
                                <w:jc w:val="center"/>
                              </w:trPr>
                              <w:tc>
                                <w:tcPr>
                                  <w:tcW w:w="1530" w:type="dxa"/>
                                  <w:gridSpan w:val="2"/>
                                  <w:shd w:val="clear" w:color="auto" w:fill="F2F2F2" w:themeFill="background1" w:themeFillShade="F2"/>
                                  <w:noWrap/>
                                  <w:vAlign w:val="center"/>
                                  <w:hideMark/>
                                </w:tcPr>
                                <w:p w:rsidR="000A56A9" w:rsidRPr="00476BE6" w:rsidRDefault="000A56A9" w:rsidP="00476BE6">
                                  <w:pPr>
                                    <w:pStyle w:val="TextBox"/>
                                    <w:spacing w:line="200" w:lineRule="exact"/>
                                    <w:rPr>
                                      <w:i/>
                                      <w:sz w:val="18"/>
                                    </w:rPr>
                                  </w:pPr>
                                  <w:r w:rsidRPr="00476BE6">
                                    <w:rPr>
                                      <w:i/>
                                      <w:sz w:val="18"/>
                                    </w:rPr>
                                    <w:t>Patient Type</w:t>
                                  </w:r>
                                </w:p>
                              </w:tc>
                              <w:tc>
                                <w:tcPr>
                                  <w:tcW w:w="810" w:type="dxa"/>
                                  <w:shd w:val="clear" w:color="auto" w:fill="F2F2F2" w:themeFill="background1" w:themeFillShade="F2"/>
                                  <w:noWrap/>
                                  <w:tcMar>
                                    <w:left w:w="72" w:type="dxa"/>
                                    <w:right w:w="72" w:type="dxa"/>
                                  </w:tcMar>
                                  <w:vAlign w:val="center"/>
                                  <w:hideMark/>
                                </w:tcPr>
                                <w:p w:rsidR="000A56A9" w:rsidRPr="00476BE6" w:rsidRDefault="000A56A9" w:rsidP="00476BE6">
                                  <w:pPr>
                                    <w:pStyle w:val="TextBox"/>
                                    <w:spacing w:line="200" w:lineRule="exact"/>
                                    <w:jc w:val="right"/>
                                    <w:rPr>
                                      <w:i/>
                                      <w:sz w:val="18"/>
                                    </w:rPr>
                                  </w:pPr>
                                  <w:r w:rsidRPr="00476BE6">
                                    <w:rPr>
                                      <w:i/>
                                      <w:sz w:val="18"/>
                                    </w:rPr>
                                    <w:t>Annual</w:t>
                                  </w:r>
                                </w:p>
                              </w:tc>
                              <w:tc>
                                <w:tcPr>
                                  <w:tcW w:w="618" w:type="dxa"/>
                                  <w:shd w:val="clear" w:color="auto" w:fill="F2F2F2" w:themeFill="background1" w:themeFillShade="F2"/>
                                  <w:noWrap/>
                                  <w:tcMar>
                                    <w:left w:w="72" w:type="dxa"/>
                                    <w:right w:w="72" w:type="dxa"/>
                                  </w:tcMar>
                                  <w:vAlign w:val="center"/>
                                  <w:hideMark/>
                                </w:tcPr>
                                <w:p w:rsidR="000A56A9" w:rsidRPr="00476BE6" w:rsidRDefault="000A56A9" w:rsidP="00476BE6">
                                  <w:pPr>
                                    <w:pStyle w:val="TextBox"/>
                                    <w:spacing w:line="200" w:lineRule="exact"/>
                                    <w:jc w:val="right"/>
                                    <w:rPr>
                                      <w:i/>
                                      <w:sz w:val="18"/>
                                    </w:rPr>
                                  </w:pPr>
                                  <w:r w:rsidRPr="00476BE6">
                                    <w:rPr>
                                      <w:i/>
                                      <w:sz w:val="18"/>
                                    </w:rPr>
                                    <w:t>Daily</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Adults</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43,435</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119</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Nursery</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2,190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6</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Outpatient</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108,410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484</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ED</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58,400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160</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Surgeries</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10,950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30</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Other</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7,300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20</w:t>
                                  </w:r>
                                </w:p>
                              </w:tc>
                            </w:tr>
                            <w:tr w:rsidR="000A56A9" w:rsidRPr="006177A8" w:rsidTr="00CA3862">
                              <w:trPr>
                                <w:trHeight w:val="60"/>
                                <w:jc w:val="center"/>
                              </w:trPr>
                              <w:tc>
                                <w:tcPr>
                                  <w:tcW w:w="1530" w:type="dxa"/>
                                  <w:gridSpan w:val="2"/>
                                  <w:noWrap/>
                                  <w:vAlign w:val="center"/>
                                  <w:hideMark/>
                                </w:tcPr>
                                <w:p w:rsidR="000A56A9" w:rsidRPr="001B3EE4" w:rsidRDefault="000A56A9" w:rsidP="00B673AA">
                                  <w:pPr>
                                    <w:pStyle w:val="TextBox"/>
                                    <w:spacing w:after="20" w:line="200" w:lineRule="exact"/>
                                    <w:rPr>
                                      <w:sz w:val="18"/>
                                    </w:rPr>
                                  </w:pPr>
                                  <w:r w:rsidRPr="001B3EE4">
                                    <w:rPr>
                                      <w:sz w:val="18"/>
                                    </w:rPr>
                                    <w:t>Total</w:t>
                                  </w:r>
                                </w:p>
                              </w:tc>
                              <w:tc>
                                <w:tcPr>
                                  <w:tcW w:w="810" w:type="dxa"/>
                                  <w:noWrap/>
                                  <w:tcMar>
                                    <w:left w:w="72" w:type="dxa"/>
                                    <w:right w:w="72" w:type="dxa"/>
                                  </w:tcMar>
                                  <w:vAlign w:val="center"/>
                                  <w:hideMark/>
                                </w:tcPr>
                                <w:p w:rsidR="000A56A9" w:rsidRPr="001B3EE4" w:rsidRDefault="000A56A9" w:rsidP="00B673AA">
                                  <w:pPr>
                                    <w:pStyle w:val="TextBox"/>
                                    <w:spacing w:after="20" w:line="200" w:lineRule="exact"/>
                                    <w:jc w:val="right"/>
                                    <w:rPr>
                                      <w:sz w:val="18"/>
                                    </w:rPr>
                                  </w:pPr>
                                  <w:r w:rsidRPr="001B3EE4">
                                    <w:rPr>
                                      <w:sz w:val="18"/>
                                    </w:rPr>
                                    <w:t>280,185</w:t>
                                  </w:r>
                                </w:p>
                              </w:tc>
                              <w:tc>
                                <w:tcPr>
                                  <w:tcW w:w="618" w:type="dxa"/>
                                  <w:shd w:val="clear" w:color="auto" w:fill="CCC0D9" w:themeFill="accent4" w:themeFillTint="66"/>
                                  <w:noWrap/>
                                  <w:tcMar>
                                    <w:left w:w="72" w:type="dxa"/>
                                    <w:right w:w="72" w:type="dxa"/>
                                  </w:tcMar>
                                  <w:vAlign w:val="center"/>
                                  <w:hideMark/>
                                </w:tcPr>
                                <w:p w:rsidR="000A56A9" w:rsidRPr="001B3EE4" w:rsidRDefault="000A56A9" w:rsidP="00B673AA">
                                  <w:pPr>
                                    <w:pStyle w:val="TextBox"/>
                                    <w:spacing w:after="20" w:line="200" w:lineRule="exact"/>
                                    <w:jc w:val="right"/>
                                    <w:rPr>
                                      <w:sz w:val="18"/>
                                    </w:rPr>
                                  </w:pPr>
                                  <w:r w:rsidRPr="001B3EE4">
                                    <w:rPr>
                                      <w:sz w:val="18"/>
                                    </w:rPr>
                                    <w:t>719</w:t>
                                  </w:r>
                                </w:p>
                              </w:tc>
                            </w:tr>
                          </w:tbl>
                          <w:p w:rsidR="000A56A9" w:rsidRPr="00F81D37" w:rsidRDefault="000A56A9" w:rsidP="00636AD1"/>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1B2C72" id="_x0000_t202" coordsize="21600,21600" o:spt="202" path="m,l,21600r21600,l21600,xe">
                <v:stroke joinstyle="miter"/>
                <v:path gradientshapeok="t" o:connecttype="rect"/>
              </v:shapetype>
              <v:shape id="_x0000_s1027" type="#_x0000_t202" style="position:absolute;left:0;text-align:left;margin-left:379.05pt;margin-top:258.45pt;width:152.25pt;height:107.25pt;z-index:-251652096;visibility:visible;mso-wrap-style:square;mso-width-percent:0;mso-height-percent:0;mso-wrap-distance-left:7.2pt;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" o:allowoverlap="f" stroked="f">
                <v:textbox inset="3.6pt,,3.6pt">
                  <w:txbxContent>
                    <w:tbl>
                      <w:tblPr>
                        <w:tblStyle w:val="TableGrid"/>
                        <w:tblOverlap w:val="never"/>
                        <w:tblW w:w="295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44" w:type="dxa"/>
                          <w:right w:w="144" w:type="dxa"/>
                        </w:tblCellMar>
                        <w:tblLook w:val="04A0" w:firstRow="1" w:lastRow="0" w:firstColumn="1" w:lastColumn="0" w:noHBand="0" w:noVBand="1"/>
                      </w:tblPr>
                      <w:tblGrid>
                        <w:gridCol w:w="1350"/>
                        <w:gridCol w:w="180"/>
                        <w:gridCol w:w="810"/>
                        <w:gridCol w:w="618"/>
                      </w:tblGrid>
                      <w:tr w:rsidR="000A56A9" w:rsidRPr="006177A8" w:rsidTr="00CA3862">
                        <w:trPr>
                          <w:trHeight w:val="144"/>
                          <w:jc w:val="center"/>
                        </w:trPr>
                        <w:tc>
                          <w:tcPr>
                            <w:tcW w:w="1350" w:type="dxa"/>
                            <w:tcBorders>
                              <w:right w:val="nil"/>
                            </w:tcBorders>
                            <w:shd w:val="clear" w:color="auto" w:fill="F2F2F2" w:themeFill="background1" w:themeFillShade="F2"/>
                            <w:noWrap/>
                            <w:tcMar>
                              <w:right w:w="29" w:type="dxa"/>
                            </w:tcMar>
                            <w:vAlign w:val="center"/>
                            <w:hideMark/>
                          </w:tcPr>
                          <w:p w:rsidR="000A56A9" w:rsidRPr="001B3EE4" w:rsidRDefault="000A56A9" w:rsidP="00476BE6">
                            <w:pPr>
                              <w:pStyle w:val="TextBox"/>
                              <w:spacing w:line="200" w:lineRule="exact"/>
                              <w:rPr>
                                <w:b/>
                                <w:sz w:val="18"/>
                              </w:rPr>
                            </w:pPr>
                            <w:r w:rsidRPr="001B3EE4">
                              <w:rPr>
                                <w:b/>
                                <w:sz w:val="18"/>
                              </w:rPr>
                              <w:t xml:space="preserve">Patient Census   </w:t>
                            </w:r>
                          </w:p>
                        </w:tc>
                        <w:tc>
                          <w:tcPr>
                            <w:tcW w:w="1608" w:type="dxa"/>
                            <w:gridSpan w:val="3"/>
                            <w:tcBorders>
                              <w:left w:val="nil"/>
                            </w:tcBorders>
                            <w:shd w:val="clear" w:color="auto" w:fill="F2F2F2" w:themeFill="background1" w:themeFillShade="F2"/>
                            <w:tcMar>
                              <w:left w:w="0" w:type="dxa"/>
                              <w:right w:w="72" w:type="dxa"/>
                            </w:tcMar>
                            <w:vAlign w:val="center"/>
                          </w:tcPr>
                          <w:p w:rsidR="000A56A9" w:rsidRPr="00CA3862" w:rsidRDefault="000A56A9" w:rsidP="00CA3862">
                            <w:pPr>
                              <w:pStyle w:val="TextBox"/>
                              <w:spacing w:line="200" w:lineRule="exact"/>
                              <w:jc w:val="right"/>
                              <w:rPr>
                                <w:i/>
                                <w:sz w:val="18"/>
                              </w:rPr>
                            </w:pPr>
                            <w:r w:rsidRPr="00CA3862">
                              <w:rPr>
                                <w:i/>
                                <w:sz w:val="18"/>
                              </w:rPr>
                              <w:t>Licensed beds = 200</w:t>
                            </w:r>
                          </w:p>
                        </w:tc>
                      </w:tr>
                      <w:tr w:rsidR="000A56A9" w:rsidRPr="006177A8" w:rsidTr="00CA3862">
                        <w:trPr>
                          <w:trHeight w:val="144"/>
                          <w:jc w:val="center"/>
                        </w:trPr>
                        <w:tc>
                          <w:tcPr>
                            <w:tcW w:w="1530" w:type="dxa"/>
                            <w:gridSpan w:val="2"/>
                            <w:shd w:val="clear" w:color="auto" w:fill="F2F2F2" w:themeFill="background1" w:themeFillShade="F2"/>
                            <w:noWrap/>
                            <w:vAlign w:val="center"/>
                            <w:hideMark/>
                          </w:tcPr>
                          <w:p w:rsidR="000A56A9" w:rsidRPr="00476BE6" w:rsidRDefault="000A56A9" w:rsidP="00476BE6">
                            <w:pPr>
                              <w:pStyle w:val="TextBox"/>
                              <w:spacing w:line="200" w:lineRule="exact"/>
                              <w:rPr>
                                <w:i/>
                                <w:sz w:val="18"/>
                              </w:rPr>
                            </w:pPr>
                            <w:r w:rsidRPr="00476BE6">
                              <w:rPr>
                                <w:i/>
                                <w:sz w:val="18"/>
                              </w:rPr>
                              <w:t>Patient Type</w:t>
                            </w:r>
                          </w:p>
                        </w:tc>
                        <w:tc>
                          <w:tcPr>
                            <w:tcW w:w="810" w:type="dxa"/>
                            <w:shd w:val="clear" w:color="auto" w:fill="F2F2F2" w:themeFill="background1" w:themeFillShade="F2"/>
                            <w:noWrap/>
                            <w:tcMar>
                              <w:left w:w="72" w:type="dxa"/>
                              <w:right w:w="72" w:type="dxa"/>
                            </w:tcMar>
                            <w:vAlign w:val="center"/>
                            <w:hideMark/>
                          </w:tcPr>
                          <w:p w:rsidR="000A56A9" w:rsidRPr="00476BE6" w:rsidRDefault="000A56A9" w:rsidP="00476BE6">
                            <w:pPr>
                              <w:pStyle w:val="TextBox"/>
                              <w:spacing w:line="200" w:lineRule="exact"/>
                              <w:jc w:val="right"/>
                              <w:rPr>
                                <w:i/>
                                <w:sz w:val="18"/>
                              </w:rPr>
                            </w:pPr>
                            <w:r w:rsidRPr="00476BE6">
                              <w:rPr>
                                <w:i/>
                                <w:sz w:val="18"/>
                              </w:rPr>
                              <w:t>Annual</w:t>
                            </w:r>
                          </w:p>
                        </w:tc>
                        <w:tc>
                          <w:tcPr>
                            <w:tcW w:w="618" w:type="dxa"/>
                            <w:shd w:val="clear" w:color="auto" w:fill="F2F2F2" w:themeFill="background1" w:themeFillShade="F2"/>
                            <w:noWrap/>
                            <w:tcMar>
                              <w:left w:w="72" w:type="dxa"/>
                              <w:right w:w="72" w:type="dxa"/>
                            </w:tcMar>
                            <w:vAlign w:val="center"/>
                            <w:hideMark/>
                          </w:tcPr>
                          <w:p w:rsidR="000A56A9" w:rsidRPr="00476BE6" w:rsidRDefault="000A56A9" w:rsidP="00476BE6">
                            <w:pPr>
                              <w:pStyle w:val="TextBox"/>
                              <w:spacing w:line="200" w:lineRule="exact"/>
                              <w:jc w:val="right"/>
                              <w:rPr>
                                <w:i/>
                                <w:sz w:val="18"/>
                              </w:rPr>
                            </w:pPr>
                            <w:r w:rsidRPr="00476BE6">
                              <w:rPr>
                                <w:i/>
                                <w:sz w:val="18"/>
                              </w:rPr>
                              <w:t>Daily</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Adults</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43,435</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119</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Nursery</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2,190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6</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Outpatient</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108,410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484</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ED</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58,400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160</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Surgeries</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10,950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30</w:t>
                            </w:r>
                          </w:p>
                        </w:tc>
                      </w:tr>
                      <w:tr w:rsidR="000A56A9" w:rsidRPr="006177A8" w:rsidTr="00CA3862">
                        <w:trPr>
                          <w:trHeight w:val="144"/>
                          <w:jc w:val="center"/>
                        </w:trPr>
                        <w:tc>
                          <w:tcPr>
                            <w:tcW w:w="1530" w:type="dxa"/>
                            <w:gridSpan w:val="2"/>
                            <w:noWrap/>
                            <w:vAlign w:val="center"/>
                            <w:hideMark/>
                          </w:tcPr>
                          <w:p w:rsidR="000A56A9" w:rsidRPr="001B3EE4" w:rsidRDefault="000A56A9" w:rsidP="00476BE6">
                            <w:pPr>
                              <w:pStyle w:val="TextBox"/>
                              <w:spacing w:line="200" w:lineRule="exact"/>
                              <w:rPr>
                                <w:sz w:val="18"/>
                              </w:rPr>
                            </w:pPr>
                            <w:r w:rsidRPr="001B3EE4">
                              <w:rPr>
                                <w:sz w:val="18"/>
                              </w:rPr>
                              <w:t>Other</w:t>
                            </w:r>
                          </w:p>
                        </w:tc>
                        <w:tc>
                          <w:tcPr>
                            <w:tcW w:w="810"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7,300</w:t>
                            </w:r>
                          </w:p>
                        </w:tc>
                        <w:tc>
                          <w:tcPr>
                            <w:tcW w:w="618" w:type="dxa"/>
                            <w:noWrap/>
                            <w:tcMar>
                              <w:left w:w="72" w:type="dxa"/>
                              <w:right w:w="72" w:type="dxa"/>
                            </w:tcMar>
                            <w:vAlign w:val="center"/>
                            <w:hideMark/>
                          </w:tcPr>
                          <w:p w:rsidR="000A56A9" w:rsidRPr="001B3EE4" w:rsidRDefault="000A56A9" w:rsidP="00476BE6">
                            <w:pPr>
                              <w:pStyle w:val="TextBox"/>
                              <w:spacing w:line="200" w:lineRule="exact"/>
                              <w:jc w:val="right"/>
                              <w:rPr>
                                <w:sz w:val="18"/>
                              </w:rPr>
                            </w:pPr>
                            <w:r w:rsidRPr="001B3EE4">
                              <w:rPr>
                                <w:sz w:val="18"/>
                              </w:rPr>
                              <w:t>20</w:t>
                            </w:r>
                          </w:p>
                        </w:tc>
                      </w:tr>
                      <w:tr w:rsidR="000A56A9" w:rsidRPr="006177A8" w:rsidTr="00CA3862">
                        <w:trPr>
                          <w:trHeight w:val="60"/>
                          <w:jc w:val="center"/>
                        </w:trPr>
                        <w:tc>
                          <w:tcPr>
                            <w:tcW w:w="1530" w:type="dxa"/>
                            <w:gridSpan w:val="2"/>
                            <w:noWrap/>
                            <w:vAlign w:val="center"/>
                            <w:hideMark/>
                          </w:tcPr>
                          <w:p w:rsidR="000A56A9" w:rsidRPr="001B3EE4" w:rsidRDefault="000A56A9" w:rsidP="00B673AA">
                            <w:pPr>
                              <w:pStyle w:val="TextBox"/>
                              <w:spacing w:after="20" w:line="200" w:lineRule="exact"/>
                              <w:rPr>
                                <w:sz w:val="18"/>
                              </w:rPr>
                            </w:pPr>
                            <w:r w:rsidRPr="001B3EE4">
                              <w:rPr>
                                <w:sz w:val="18"/>
                              </w:rPr>
                              <w:t>Total</w:t>
                            </w:r>
                          </w:p>
                        </w:tc>
                        <w:tc>
                          <w:tcPr>
                            <w:tcW w:w="810" w:type="dxa"/>
                            <w:noWrap/>
                            <w:tcMar>
                              <w:left w:w="72" w:type="dxa"/>
                              <w:right w:w="72" w:type="dxa"/>
                            </w:tcMar>
                            <w:vAlign w:val="center"/>
                            <w:hideMark/>
                          </w:tcPr>
                          <w:p w:rsidR="000A56A9" w:rsidRPr="001B3EE4" w:rsidRDefault="000A56A9" w:rsidP="00B673AA">
                            <w:pPr>
                              <w:pStyle w:val="TextBox"/>
                              <w:spacing w:after="20" w:line="200" w:lineRule="exact"/>
                              <w:jc w:val="right"/>
                              <w:rPr>
                                <w:sz w:val="18"/>
                              </w:rPr>
                            </w:pPr>
                            <w:r w:rsidRPr="001B3EE4">
                              <w:rPr>
                                <w:sz w:val="18"/>
                              </w:rPr>
                              <w:t>280,185</w:t>
                            </w:r>
                          </w:p>
                        </w:tc>
                        <w:tc>
                          <w:tcPr>
                            <w:tcW w:w="618" w:type="dxa"/>
                            <w:shd w:val="clear" w:color="auto" w:fill="CCC0D9" w:themeFill="accent4" w:themeFillTint="66"/>
                            <w:noWrap/>
                            <w:tcMar>
                              <w:left w:w="72" w:type="dxa"/>
                              <w:right w:w="72" w:type="dxa"/>
                            </w:tcMar>
                            <w:vAlign w:val="center"/>
                            <w:hideMark/>
                          </w:tcPr>
                          <w:p w:rsidR="000A56A9" w:rsidRPr="001B3EE4" w:rsidRDefault="000A56A9" w:rsidP="00B673AA">
                            <w:pPr>
                              <w:pStyle w:val="TextBox"/>
                              <w:spacing w:after="20" w:line="200" w:lineRule="exact"/>
                              <w:jc w:val="right"/>
                              <w:rPr>
                                <w:sz w:val="18"/>
                              </w:rPr>
                            </w:pPr>
                            <w:r w:rsidRPr="001B3EE4">
                              <w:rPr>
                                <w:sz w:val="18"/>
                              </w:rPr>
                              <w:t>719</w:t>
                            </w:r>
                          </w:p>
                        </w:tc>
                      </w:tr>
                    </w:tbl>
                    <w:p w:rsidR="000A56A9" w:rsidRPr="00F81D37" w:rsidRDefault="000A56A9" w:rsidP="00636AD1"/>
                  </w:txbxContent>
                </v:textbox>
                <w10:wrap type="tight" side="left"/>
                <w10:anchorlock/>
              </v:shape>
            </w:pict>
          </mc:Fallback>
        </mc:AlternateContent>
      </w:r>
      <w:r w:rsidR="00CC4A9E" w:rsidRPr="005A160D">
        <w:t>Identify the hospital’s Average Daily Census</w:t>
      </w:r>
      <w:bookmarkEnd w:id="63"/>
      <w:bookmarkEnd w:id="64"/>
      <w:bookmarkEnd w:id="65"/>
      <w:r w:rsidR="00CC4A9E" w:rsidRPr="005A160D">
        <w:t xml:space="preserve"> </w:t>
      </w:r>
    </w:p>
    <w:p w:rsidR="00F81D37" w:rsidRDefault="00CC4A9E" w:rsidP="002B1CB4">
      <w:pPr>
        <w:pStyle w:val="SmallText"/>
      </w:pPr>
      <w:r w:rsidRPr="0035609F">
        <w:t>The Patient Census should account for all pa</w:t>
      </w:r>
      <w:r w:rsidR="00B673AA">
        <w:t xml:space="preserve">tients, including those in the ED, surgery, outpatient, </w:t>
      </w:r>
      <w:r w:rsidRPr="0035609F">
        <w:t xml:space="preserve">and other departments </w:t>
      </w:r>
      <w:r w:rsidR="00B673AA">
        <w:t xml:space="preserve">proving </w:t>
      </w:r>
      <w:r w:rsidRPr="0035609F">
        <w:t>care over a 12-month period.</w:t>
      </w:r>
      <w:r w:rsidR="006177A8" w:rsidRPr="0035609F">
        <w:t xml:space="preserve"> Census</w:t>
      </w:r>
      <w:r w:rsidR="00B673AA">
        <w:t xml:space="preserve"> data may be listed by category </w:t>
      </w:r>
      <w:r w:rsidR="006177A8" w:rsidRPr="0035609F">
        <w:t>or in total.  Categories may be changed to reflect how census data is collected and defined by facility.</w:t>
      </w:r>
      <w:bookmarkStart w:id="66" w:name="_Toc510627329"/>
    </w:p>
    <w:p w:rsidR="00976117" w:rsidRPr="005A160D" w:rsidRDefault="00DC336D" w:rsidP="006C100C">
      <w:pPr>
        <w:pStyle w:val="Heading3"/>
      </w:pPr>
      <w:bookmarkStart w:id="67" w:name="_Toc515545222"/>
      <w:bookmarkStart w:id="68" w:name="_Toc515545346"/>
      <w:r w:rsidRPr="005A160D">
        <w:t>Determine Annual Consumption Rate of Resources</w:t>
      </w:r>
      <w:bookmarkEnd w:id="66"/>
      <w:bookmarkEnd w:id="67"/>
      <w:bookmarkEnd w:id="68"/>
    </w:p>
    <w:p w:rsidR="0058704A" w:rsidRDefault="00C70CE7" w:rsidP="00FE3A8D">
      <w:pPr>
        <w:pStyle w:val="SmallText"/>
      </w:pPr>
      <w:r w:rsidRPr="0035609F">
        <w:t xml:space="preserve">Assessment team members should assemble </w:t>
      </w:r>
      <w:r w:rsidR="00AC229B">
        <w:t xml:space="preserve">Annual Consumption Rate data </w:t>
      </w:r>
      <w:r w:rsidRPr="0035609F">
        <w:t>for essential resources within their department or area of responsibility.</w:t>
      </w:r>
      <w:r w:rsidR="00AC229B">
        <w:t xml:space="preserve"> </w:t>
      </w:r>
      <w:r w:rsidR="0058704A">
        <w:t xml:space="preserve">Because there may </w:t>
      </w:r>
      <w:r w:rsidR="0058704A" w:rsidRPr="0058704A">
        <w:t xml:space="preserve">be seasonal variances in the consumption of </w:t>
      </w:r>
      <w:r w:rsidR="0058704A">
        <w:t>certain resources, the Annual Consumption R</w:t>
      </w:r>
      <w:r w:rsidR="0058704A" w:rsidRPr="0058704A">
        <w:t xml:space="preserve">ate </w:t>
      </w:r>
      <w:r w:rsidR="0058704A">
        <w:t xml:space="preserve">is used </w:t>
      </w:r>
      <w:r w:rsidR="0058704A" w:rsidRPr="0058704A">
        <w:t>to calculate a baseline Average Consumption Rate (units/day)</w:t>
      </w:r>
      <w:r w:rsidR="0058704A">
        <w:t>.</w:t>
      </w:r>
    </w:p>
    <w:p w:rsidR="00DC336D" w:rsidRDefault="00DC336D" w:rsidP="006C100C">
      <w:pPr>
        <w:pStyle w:val="Heading3"/>
      </w:pPr>
      <w:bookmarkStart w:id="69" w:name="_Toc510627330"/>
      <w:bookmarkStart w:id="70" w:name="_Toc515545223"/>
      <w:bookmarkStart w:id="71" w:name="_Toc515545347"/>
      <w:r>
        <w:lastRenderedPageBreak/>
        <w:t>Conduct an Inventory of Resources</w:t>
      </w:r>
      <w:bookmarkEnd w:id="69"/>
      <w:bookmarkEnd w:id="70"/>
      <w:bookmarkEnd w:id="71"/>
    </w:p>
    <w:p w:rsidR="00D76DFE" w:rsidRPr="0047034A" w:rsidRDefault="00D76DFE" w:rsidP="00FE3A8D">
      <w:pPr>
        <w:pStyle w:val="SmallText"/>
      </w:pPr>
      <w:r w:rsidRPr="0047034A">
        <w:t>This may be an actual inventory conducted within a department, or may be drawn from a centralized inventory data system</w:t>
      </w:r>
      <w:r w:rsidR="00471115" w:rsidRPr="0047034A">
        <w:t xml:space="preserve">. It should reflect typical inventory levels. </w:t>
      </w:r>
    </w:p>
    <w:p w:rsidR="00D03F5D" w:rsidRDefault="001314AA" w:rsidP="005126B5">
      <w:pPr>
        <w:pStyle w:val="Heading2"/>
      </w:pPr>
      <w:bookmarkStart w:id="72" w:name="_Mitigation_Strategies"/>
      <w:bookmarkStart w:id="73" w:name="_Toc515545348"/>
      <w:bookmarkEnd w:id="62"/>
      <w:bookmarkEnd w:id="72"/>
      <w:r>
        <w:t xml:space="preserve">Identify </w:t>
      </w:r>
      <w:r w:rsidR="00533459">
        <w:t xml:space="preserve">Dependent Systems and </w:t>
      </w:r>
      <w:r w:rsidR="00D03F5D" w:rsidRPr="00983861">
        <w:t>Mitigation Strategies</w:t>
      </w:r>
      <w:bookmarkEnd w:id="73"/>
      <w:r w:rsidR="00D03F5D">
        <w:t xml:space="preserve"> </w:t>
      </w:r>
    </w:p>
    <w:p w:rsidR="002166BF" w:rsidRDefault="002166BF" w:rsidP="00B673AA">
      <w:pPr>
        <w:pStyle w:val="Heading3"/>
      </w:pPr>
      <w:bookmarkStart w:id="74" w:name="_Toc510441390"/>
      <w:bookmarkStart w:id="75" w:name="_Toc510627334"/>
      <w:bookmarkStart w:id="76" w:name="_Toc515545225"/>
      <w:bookmarkStart w:id="77" w:name="_Toc515545349"/>
      <w:r>
        <w:t xml:space="preserve">Identify </w:t>
      </w:r>
      <w:r w:rsidR="00831E00">
        <w:t xml:space="preserve">mitigation and </w:t>
      </w:r>
      <w:r w:rsidR="00533459">
        <w:t xml:space="preserve">conservation </w:t>
      </w:r>
      <w:r w:rsidR="00D03F5D" w:rsidRPr="00983861">
        <w:t xml:space="preserve">strategies that </w:t>
      </w:r>
      <w:r w:rsidR="00533459">
        <w:t xml:space="preserve">may </w:t>
      </w:r>
      <w:r w:rsidR="00D03F5D" w:rsidRPr="00983861">
        <w:t>extend sustainability</w:t>
      </w:r>
      <w:r>
        <w:t xml:space="preserve"> periods</w:t>
      </w:r>
      <w:bookmarkEnd w:id="74"/>
      <w:r w:rsidR="00533459">
        <w:t xml:space="preserve"> and </w:t>
      </w:r>
      <w:r w:rsidR="00831E00">
        <w:t xml:space="preserve">lessen </w:t>
      </w:r>
      <w:r w:rsidR="00533459">
        <w:t>the impact on emergency operations.</w:t>
      </w:r>
      <w:bookmarkEnd w:id="75"/>
      <w:bookmarkEnd w:id="76"/>
      <w:bookmarkEnd w:id="77"/>
    </w:p>
    <w:p w:rsidR="00D03F5D" w:rsidRPr="0047034A" w:rsidRDefault="00D03F5D" w:rsidP="00FE3A8D">
      <w:pPr>
        <w:pStyle w:val="SmallText"/>
      </w:pPr>
      <w:r w:rsidRPr="0047034A">
        <w:t>Mitigation strategies may include:</w:t>
      </w:r>
    </w:p>
    <w:p w:rsidR="00883335" w:rsidRPr="0047034A" w:rsidRDefault="00C15B48" w:rsidP="00FE3A8D">
      <w:pPr>
        <w:pStyle w:val="SmallTextBullet"/>
      </w:pPr>
      <w:r w:rsidRPr="0047034A">
        <w:t>Curtailment of s</w:t>
      </w:r>
      <w:r w:rsidR="00EF2C9D" w:rsidRPr="0047034A">
        <w:t>ervices</w:t>
      </w:r>
      <w:r w:rsidRPr="0047034A">
        <w:t>; patient discharge</w:t>
      </w:r>
      <w:r w:rsidR="00831E00" w:rsidRPr="0047034A">
        <w:t>;</w:t>
      </w:r>
    </w:p>
    <w:p w:rsidR="00D03F5D" w:rsidRPr="0047034A" w:rsidRDefault="00D03F5D" w:rsidP="00FE3A8D">
      <w:pPr>
        <w:pStyle w:val="SmallTextBullet"/>
      </w:pPr>
      <w:r w:rsidRPr="0047034A">
        <w:t xml:space="preserve">Conservation </w:t>
      </w:r>
      <w:r w:rsidR="00366E71" w:rsidRPr="0047034A">
        <w:t>of resources</w:t>
      </w:r>
      <w:r w:rsidR="00831E00" w:rsidRPr="0047034A">
        <w:t>;</w:t>
      </w:r>
    </w:p>
    <w:p w:rsidR="00D03F5D" w:rsidRPr="0047034A" w:rsidRDefault="00D03F5D" w:rsidP="00FE3A8D">
      <w:pPr>
        <w:pStyle w:val="SmallTextBullet"/>
      </w:pPr>
      <w:r w:rsidRPr="0047034A">
        <w:t>Plan for alternative methods to meet operational needs (gas generators, waste management)</w:t>
      </w:r>
    </w:p>
    <w:p w:rsidR="00D03F5D" w:rsidRPr="0047034A" w:rsidRDefault="001329A8" w:rsidP="00FE3A8D">
      <w:pPr>
        <w:pStyle w:val="SmallTextBullet"/>
      </w:pPr>
      <w:r w:rsidRPr="0047034A">
        <w:t>Identify a</w:t>
      </w:r>
      <w:r w:rsidR="00D03F5D" w:rsidRPr="0047034A">
        <w:t>dditional resources that can be obtained from within the immediate community</w:t>
      </w:r>
    </w:p>
    <w:p w:rsidR="00831E00" w:rsidRDefault="00533459" w:rsidP="006C100C">
      <w:pPr>
        <w:pStyle w:val="Heading3"/>
      </w:pPr>
      <w:bookmarkStart w:id="78" w:name="_Toc510627335"/>
      <w:bookmarkStart w:id="79" w:name="_Toc515545226"/>
      <w:bookmarkStart w:id="80" w:name="_Toc515545350"/>
      <w:r>
        <w:t>Identify dependent systems and resources</w:t>
      </w:r>
      <w:r w:rsidR="00831E00">
        <w:t>.</w:t>
      </w:r>
      <w:bookmarkEnd w:id="78"/>
      <w:bookmarkEnd w:id="79"/>
      <w:bookmarkEnd w:id="80"/>
      <w:r>
        <w:t xml:space="preserve"> </w:t>
      </w:r>
    </w:p>
    <w:p w:rsidR="00533459" w:rsidRDefault="00831E00" w:rsidP="00FE3A8D">
      <w:pPr>
        <w:pStyle w:val="SmallText"/>
      </w:pPr>
      <w:r>
        <w:t xml:space="preserve">Dependencies should be considered by the Assessment Team when making </w:t>
      </w:r>
      <w:r w:rsidR="00533459">
        <w:t>sustainability determinations</w:t>
      </w:r>
      <w:r w:rsidR="00533459" w:rsidRPr="00A1523A">
        <w:t>.</w:t>
      </w:r>
      <w:r w:rsidR="00340EF6">
        <w:t xml:space="preserve"> Unavailability of certain resources </w:t>
      </w:r>
      <w:r w:rsidR="00340EF6" w:rsidRPr="00340EF6">
        <w:t xml:space="preserve">or cascade failures may </w:t>
      </w:r>
      <w:r w:rsidR="00F339E5">
        <w:t xml:space="preserve">expand and </w:t>
      </w:r>
      <w:r w:rsidR="00340EF6" w:rsidRPr="00340EF6">
        <w:t>escalate operational impacts</w:t>
      </w:r>
      <w:r w:rsidR="00340EF6">
        <w:t>.</w:t>
      </w:r>
    </w:p>
    <w:p w:rsidR="00533459" w:rsidRPr="00CA3862" w:rsidRDefault="00533459" w:rsidP="00CA3862">
      <w:pPr>
        <w:spacing w:before="40" w:after="0"/>
        <w:ind w:left="360"/>
        <w:rPr>
          <w:rStyle w:val="SubtleEmphasis"/>
        </w:rPr>
      </w:pPr>
      <w:r w:rsidRPr="00CA3862">
        <w:rPr>
          <w:rStyle w:val="SubtleEmphasis"/>
        </w:rPr>
        <w:t>Example</w:t>
      </w:r>
      <w:r w:rsidR="007E740A" w:rsidRPr="00CA3862">
        <w:rPr>
          <w:rStyle w:val="SubtleEmphasis"/>
        </w:rPr>
        <w:t xml:space="preserve"> </w:t>
      </w:r>
      <w:r w:rsidR="00967BB1" w:rsidRPr="00CA3862">
        <w:rPr>
          <w:rStyle w:val="SubtleEmphasis"/>
        </w:rPr>
        <w:t>–</w:t>
      </w:r>
      <w:r w:rsidR="007E740A" w:rsidRPr="00CA3862">
        <w:rPr>
          <w:rStyle w:val="SubtleEmphasis"/>
        </w:rPr>
        <w:t xml:space="preserve"> Emergency</w:t>
      </w:r>
      <w:r w:rsidR="00967BB1" w:rsidRPr="00CA3862">
        <w:rPr>
          <w:rStyle w:val="SubtleEmphasis"/>
        </w:rPr>
        <w:t xml:space="preserve"> Power</w:t>
      </w:r>
      <w:r w:rsidR="007E740A" w:rsidRPr="00CA3862">
        <w:rPr>
          <w:rStyle w:val="SubtleEmphasis"/>
        </w:rPr>
        <w:t xml:space="preserve">: </w:t>
      </w:r>
      <w:r w:rsidRPr="00CA3862">
        <w:rPr>
          <w:rStyle w:val="SubtleEmphasis"/>
        </w:rPr>
        <w:t>W</w:t>
      </w:r>
      <w:r w:rsidR="00967BB1" w:rsidRPr="00CA3862">
        <w:rPr>
          <w:rStyle w:val="SubtleEmphasis"/>
        </w:rPr>
        <w:t>hat are the dependent systems? W</w:t>
      </w:r>
      <w:r w:rsidRPr="00CA3862">
        <w:rPr>
          <w:rStyle w:val="SubtleEmphasis"/>
        </w:rPr>
        <w:t>hat mitigation strateg</w:t>
      </w:r>
      <w:r w:rsidR="00967BB1" w:rsidRPr="00CA3862">
        <w:rPr>
          <w:rStyle w:val="SubtleEmphasis"/>
        </w:rPr>
        <w:t>ies may be used?</w:t>
      </w:r>
    </w:p>
    <w:p w:rsidR="00533459" w:rsidRDefault="00533459" w:rsidP="00B673AA">
      <w:pPr>
        <w:pStyle w:val="Heading3"/>
      </w:pPr>
      <w:bookmarkStart w:id="81" w:name="_Toc510627336"/>
      <w:bookmarkStart w:id="82" w:name="_Toc515545227"/>
      <w:bookmarkStart w:id="83" w:name="_Toc515545351"/>
      <w:r>
        <w:t xml:space="preserve">Identify planning </w:t>
      </w:r>
      <w:r w:rsidR="00831E00">
        <w:t>assumptions</w:t>
      </w:r>
      <w:r w:rsidRPr="00EA264C">
        <w:t xml:space="preserve"> </w:t>
      </w:r>
      <w:r w:rsidRPr="00A1523A">
        <w:t xml:space="preserve">and </w:t>
      </w:r>
      <w:r w:rsidR="00831E00">
        <w:t xml:space="preserve">considerations which may affect availability and consumption of </w:t>
      </w:r>
      <w:r w:rsidRPr="00A1523A">
        <w:t>resources</w:t>
      </w:r>
      <w:r w:rsidR="00831E00">
        <w:t>.</w:t>
      </w:r>
      <w:bookmarkEnd w:id="81"/>
      <w:bookmarkEnd w:id="82"/>
      <w:bookmarkEnd w:id="83"/>
    </w:p>
    <w:p w:rsidR="00DA1A65" w:rsidRDefault="00831E00" w:rsidP="00FE3A8D">
      <w:pPr>
        <w:pStyle w:val="SmallText"/>
      </w:pPr>
      <w:r>
        <w:t>Planning assumptions and additional considerations that may affect services and operations of other departments should be reviewed by the full Assessment Team when making sustainability determinations</w:t>
      </w:r>
      <w:r w:rsidR="00DA1A65">
        <w:t>.</w:t>
      </w:r>
    </w:p>
    <w:p w:rsidR="00F71337" w:rsidRDefault="00376D6F" w:rsidP="005126B5">
      <w:pPr>
        <w:pStyle w:val="Heading1"/>
        <w:spacing w:before="300"/>
      </w:pPr>
      <w:bookmarkStart w:id="84" w:name="_Toc515545352"/>
      <w:r w:rsidRPr="00643A02">
        <w:rPr>
          <w:noProof/>
          <w:lang w:eastAsia="en-US"/>
        </w:rPr>
        <w:drawing>
          <wp:anchor distT="0" distB="0" distL="0" distR="0" simplePos="0" relativeHeight="251672576" behindDoc="0" locked="1" layoutInCell="1" allowOverlap="1" wp14:anchorId="796B3188" wp14:editId="205828C4">
            <wp:simplePos x="0" y="0"/>
            <wp:positionH relativeFrom="margin">
              <wp:posOffset>222885</wp:posOffset>
            </wp:positionH>
            <wp:positionV relativeFrom="paragraph">
              <wp:posOffset>616585</wp:posOffset>
            </wp:positionV>
            <wp:extent cx="6025515" cy="1619250"/>
            <wp:effectExtent l="0" t="0" r="13335" b="3810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D03F5D" w:rsidRPr="004C51B1">
        <w:t>Conducting a 96 Hour Sustainability Assessment</w:t>
      </w:r>
      <w:bookmarkEnd w:id="84"/>
    </w:p>
    <w:p w:rsidR="00A10772" w:rsidRPr="00B92118" w:rsidRDefault="001314AA" w:rsidP="005126B5">
      <w:pPr>
        <w:pStyle w:val="Heading2"/>
        <w:numPr>
          <w:ilvl w:val="0"/>
          <w:numId w:val="19"/>
        </w:numPr>
        <w:spacing w:before="160"/>
      </w:pPr>
      <w:bookmarkStart w:id="85" w:name="_Toc515545353"/>
      <w:r>
        <w:t xml:space="preserve">Establish Planning </w:t>
      </w:r>
      <w:r w:rsidR="00A10772" w:rsidRPr="00B92118">
        <w:t>Assumptions</w:t>
      </w:r>
      <w:bookmarkEnd w:id="85"/>
    </w:p>
    <w:p w:rsidR="00A10772" w:rsidRPr="0047034A" w:rsidRDefault="00A10772" w:rsidP="006C100C">
      <w:pPr>
        <w:pStyle w:val="Heading3"/>
      </w:pPr>
      <w:bookmarkStart w:id="86" w:name="_Toc510441393"/>
      <w:bookmarkStart w:id="87" w:name="_Toc510627339"/>
      <w:bookmarkStart w:id="88" w:name="_Toc515545230"/>
      <w:bookmarkStart w:id="89" w:name="_Toc515545354"/>
      <w:r w:rsidRPr="0047034A">
        <w:t xml:space="preserve">The following assumptions should be </w:t>
      </w:r>
      <w:r w:rsidR="00F02A82" w:rsidRPr="0047034A">
        <w:t xml:space="preserve">applied </w:t>
      </w:r>
      <w:r w:rsidRPr="0047034A">
        <w:t>in conducting the Assessment:</w:t>
      </w:r>
      <w:bookmarkEnd w:id="86"/>
      <w:bookmarkEnd w:id="87"/>
      <w:bookmarkEnd w:id="88"/>
      <w:bookmarkEnd w:id="89"/>
    </w:p>
    <w:p w:rsidR="00052673" w:rsidRPr="009E15F4" w:rsidRDefault="00F02A82" w:rsidP="008300F6">
      <w:pPr>
        <w:pStyle w:val="ListParagraph"/>
        <w:numPr>
          <w:ilvl w:val="0"/>
          <w:numId w:val="29"/>
        </w:numPr>
        <w:spacing w:before="20"/>
        <w:ind w:left="662" w:hanging="259"/>
        <w:rPr>
          <w:sz w:val="26"/>
        </w:rPr>
      </w:pPr>
      <w:bookmarkStart w:id="90" w:name="_Toc510627340"/>
      <w:r w:rsidRPr="009E15F4">
        <w:rPr>
          <w:sz w:val="26"/>
        </w:rPr>
        <w:t xml:space="preserve">The </w:t>
      </w:r>
      <w:r w:rsidR="00A10772" w:rsidRPr="009E15F4">
        <w:rPr>
          <w:sz w:val="26"/>
        </w:rPr>
        <w:t xml:space="preserve">event </w:t>
      </w:r>
      <w:r w:rsidR="00A1523A" w:rsidRPr="009E15F4">
        <w:rPr>
          <w:sz w:val="26"/>
        </w:rPr>
        <w:t xml:space="preserve">will </w:t>
      </w:r>
      <w:r w:rsidR="008300F6" w:rsidRPr="009E15F4">
        <w:rPr>
          <w:sz w:val="26"/>
        </w:rPr>
        <w:t xml:space="preserve">interrupt </w:t>
      </w:r>
      <w:r w:rsidR="00A10772" w:rsidRPr="009E15F4">
        <w:rPr>
          <w:sz w:val="26"/>
        </w:rPr>
        <w:t>supplies and services</w:t>
      </w:r>
      <w:r w:rsidR="002166BF" w:rsidRPr="009E15F4">
        <w:rPr>
          <w:sz w:val="26"/>
        </w:rPr>
        <w:t xml:space="preserve"> for 96 hours or more</w:t>
      </w:r>
      <w:bookmarkEnd w:id="90"/>
      <w:r w:rsidR="00052673" w:rsidRPr="009E15F4">
        <w:rPr>
          <w:sz w:val="26"/>
        </w:rPr>
        <w:t xml:space="preserve"> and impact public services.</w:t>
      </w:r>
    </w:p>
    <w:p w:rsidR="00A10772" w:rsidRPr="009E15F4" w:rsidRDefault="00A1523A" w:rsidP="008300F6">
      <w:pPr>
        <w:pStyle w:val="ListParagraph"/>
        <w:numPr>
          <w:ilvl w:val="0"/>
          <w:numId w:val="29"/>
        </w:numPr>
        <w:spacing w:before="20"/>
        <w:ind w:left="662" w:hanging="259"/>
        <w:rPr>
          <w:sz w:val="26"/>
        </w:rPr>
      </w:pPr>
      <w:bookmarkStart w:id="91" w:name="_Toc510627341"/>
      <w:r w:rsidRPr="009E15F4">
        <w:rPr>
          <w:sz w:val="26"/>
        </w:rPr>
        <w:t>Support</w:t>
      </w:r>
      <w:r w:rsidR="00A10772" w:rsidRPr="009E15F4">
        <w:rPr>
          <w:sz w:val="26"/>
        </w:rPr>
        <w:t xml:space="preserve"> from outside the </w:t>
      </w:r>
      <w:r w:rsidRPr="009E15F4">
        <w:rPr>
          <w:sz w:val="26"/>
        </w:rPr>
        <w:t>community will not be available</w:t>
      </w:r>
      <w:r w:rsidR="002166BF" w:rsidRPr="009E15F4">
        <w:rPr>
          <w:sz w:val="26"/>
        </w:rPr>
        <w:t>;</w:t>
      </w:r>
      <w:bookmarkEnd w:id="91"/>
      <w:r w:rsidR="00052673" w:rsidRPr="009E15F4">
        <w:rPr>
          <w:sz w:val="26"/>
        </w:rPr>
        <w:t xml:space="preserve"> surrounding </w:t>
      </w:r>
      <w:r w:rsidR="008300F6" w:rsidRPr="009E15F4">
        <w:rPr>
          <w:sz w:val="26"/>
        </w:rPr>
        <w:t>areas may be impacted.</w:t>
      </w:r>
    </w:p>
    <w:p w:rsidR="00A10772" w:rsidRPr="009E15F4" w:rsidRDefault="00A10772" w:rsidP="008300F6">
      <w:pPr>
        <w:pStyle w:val="ListParagraph"/>
        <w:numPr>
          <w:ilvl w:val="0"/>
          <w:numId w:val="29"/>
        </w:numPr>
        <w:spacing w:before="20"/>
        <w:ind w:left="662" w:hanging="259"/>
        <w:rPr>
          <w:sz w:val="26"/>
        </w:rPr>
      </w:pPr>
      <w:bookmarkStart w:id="92" w:name="_Toc510627342"/>
      <w:r w:rsidRPr="009E15F4">
        <w:rPr>
          <w:sz w:val="26"/>
        </w:rPr>
        <w:t>Support from within the community will be impacted (i.e. normal supply chains and vend</w:t>
      </w:r>
      <w:r w:rsidR="002166BF" w:rsidRPr="009E15F4">
        <w:rPr>
          <w:sz w:val="26"/>
        </w:rPr>
        <w:t>or operations will be impacted)</w:t>
      </w:r>
      <w:bookmarkEnd w:id="92"/>
      <w:r w:rsidR="00052673" w:rsidRPr="009E15F4">
        <w:rPr>
          <w:sz w:val="26"/>
        </w:rPr>
        <w:t>.</w:t>
      </w:r>
    </w:p>
    <w:p w:rsidR="001329A8" w:rsidRPr="009E15F4" w:rsidRDefault="00EF2C9D" w:rsidP="008300F6">
      <w:pPr>
        <w:pStyle w:val="ListParagraph"/>
        <w:numPr>
          <w:ilvl w:val="0"/>
          <w:numId w:val="29"/>
        </w:numPr>
        <w:spacing w:before="20"/>
        <w:ind w:left="662" w:hanging="259"/>
        <w:rPr>
          <w:sz w:val="26"/>
        </w:rPr>
      </w:pPr>
      <w:bookmarkStart w:id="93" w:name="_Toc510627343"/>
      <w:r w:rsidRPr="009E15F4">
        <w:rPr>
          <w:sz w:val="26"/>
        </w:rPr>
        <w:t>Resources that cannot be replen</w:t>
      </w:r>
      <w:r w:rsidR="002166BF" w:rsidRPr="009E15F4">
        <w:rPr>
          <w:sz w:val="26"/>
        </w:rPr>
        <w:t>ished will need to be conserved;</w:t>
      </w:r>
      <w:r w:rsidR="00F02A82" w:rsidRPr="009E15F4">
        <w:rPr>
          <w:sz w:val="26"/>
        </w:rPr>
        <w:t xml:space="preserve"> a</w:t>
      </w:r>
      <w:r w:rsidR="001329A8" w:rsidRPr="009E15F4">
        <w:rPr>
          <w:sz w:val="26"/>
        </w:rPr>
        <w:t xml:space="preserve">lternative methods </w:t>
      </w:r>
      <w:r w:rsidR="00F02A82" w:rsidRPr="009E15F4">
        <w:rPr>
          <w:sz w:val="26"/>
        </w:rPr>
        <w:t xml:space="preserve">will </w:t>
      </w:r>
      <w:r w:rsidR="001329A8" w:rsidRPr="009E15F4">
        <w:rPr>
          <w:sz w:val="26"/>
        </w:rPr>
        <w:t xml:space="preserve">be needed to </w:t>
      </w:r>
      <w:r w:rsidRPr="009E15F4">
        <w:rPr>
          <w:sz w:val="26"/>
        </w:rPr>
        <w:t>meet operational needs (</w:t>
      </w:r>
      <w:r w:rsidR="002166BF" w:rsidRPr="009E15F4">
        <w:rPr>
          <w:sz w:val="26"/>
        </w:rPr>
        <w:t xml:space="preserve">i.e. </w:t>
      </w:r>
      <w:r w:rsidRPr="009E15F4">
        <w:rPr>
          <w:sz w:val="26"/>
        </w:rPr>
        <w:t>gas generators, waste management)</w:t>
      </w:r>
      <w:bookmarkEnd w:id="93"/>
      <w:r w:rsidR="00052673" w:rsidRPr="009E15F4">
        <w:rPr>
          <w:sz w:val="26"/>
        </w:rPr>
        <w:t>.</w:t>
      </w:r>
    </w:p>
    <w:p w:rsidR="00A24BB5" w:rsidRPr="009E15F4" w:rsidRDefault="00A24BB5" w:rsidP="008300F6">
      <w:pPr>
        <w:pStyle w:val="ListParagraph"/>
        <w:numPr>
          <w:ilvl w:val="0"/>
          <w:numId w:val="29"/>
        </w:numPr>
        <w:spacing w:before="20"/>
        <w:ind w:left="662" w:hanging="259"/>
        <w:rPr>
          <w:sz w:val="26"/>
        </w:rPr>
      </w:pPr>
      <w:bookmarkStart w:id="94" w:name="_Toc510627344"/>
      <w:r w:rsidRPr="009E15F4">
        <w:rPr>
          <w:sz w:val="26"/>
        </w:rPr>
        <w:t xml:space="preserve">Multiple scenarios or cascade failures may escalate </w:t>
      </w:r>
      <w:r w:rsidR="00F02A82" w:rsidRPr="009E15F4">
        <w:rPr>
          <w:sz w:val="26"/>
        </w:rPr>
        <w:t>operational impacts</w:t>
      </w:r>
      <w:bookmarkEnd w:id="94"/>
      <w:r w:rsidR="00052673" w:rsidRPr="009E15F4">
        <w:rPr>
          <w:sz w:val="26"/>
        </w:rPr>
        <w:t>.</w:t>
      </w:r>
    </w:p>
    <w:p w:rsidR="001329A8" w:rsidRPr="009E15F4" w:rsidRDefault="001329A8" w:rsidP="008300F6">
      <w:pPr>
        <w:pStyle w:val="ListParagraph"/>
        <w:numPr>
          <w:ilvl w:val="0"/>
          <w:numId w:val="29"/>
        </w:numPr>
        <w:spacing w:before="20"/>
        <w:ind w:left="662" w:hanging="259"/>
        <w:rPr>
          <w:sz w:val="26"/>
        </w:rPr>
      </w:pPr>
      <w:bookmarkStart w:id="95" w:name="_Toc510627345"/>
      <w:r w:rsidRPr="009E15F4">
        <w:rPr>
          <w:sz w:val="26"/>
        </w:rPr>
        <w:t>Other healthcare services may be curtailed/closed</w:t>
      </w:r>
      <w:bookmarkEnd w:id="95"/>
      <w:r w:rsidR="00052673" w:rsidRPr="009E15F4">
        <w:rPr>
          <w:sz w:val="26"/>
        </w:rPr>
        <w:t>.</w:t>
      </w:r>
    </w:p>
    <w:p w:rsidR="005A160D" w:rsidRPr="009E15F4" w:rsidRDefault="00C15B48" w:rsidP="008300F6">
      <w:pPr>
        <w:pStyle w:val="ListParagraph"/>
        <w:numPr>
          <w:ilvl w:val="0"/>
          <w:numId w:val="29"/>
        </w:numPr>
        <w:spacing w:before="20"/>
        <w:ind w:left="662" w:hanging="259"/>
        <w:rPr>
          <w:sz w:val="26"/>
        </w:rPr>
      </w:pPr>
      <w:bookmarkStart w:id="96" w:name="_Toc510627346"/>
      <w:r w:rsidRPr="009E15F4">
        <w:rPr>
          <w:sz w:val="26"/>
        </w:rPr>
        <w:t>Medical surge</w:t>
      </w:r>
      <w:r w:rsidR="001329A8" w:rsidRPr="009E15F4">
        <w:rPr>
          <w:sz w:val="26"/>
        </w:rPr>
        <w:t xml:space="preserve"> and staff shortage </w:t>
      </w:r>
      <w:r w:rsidRPr="009E15F4">
        <w:rPr>
          <w:sz w:val="26"/>
        </w:rPr>
        <w:t>strategies may need to be implemented</w:t>
      </w:r>
      <w:bookmarkStart w:id="97" w:name="_Toc510627347"/>
      <w:bookmarkEnd w:id="96"/>
      <w:r w:rsidR="00052673" w:rsidRPr="009E15F4">
        <w:rPr>
          <w:sz w:val="26"/>
        </w:rPr>
        <w:t>.</w:t>
      </w:r>
    </w:p>
    <w:p w:rsidR="00F02A82" w:rsidRPr="009E15F4" w:rsidRDefault="001329A8" w:rsidP="008300F6">
      <w:pPr>
        <w:pStyle w:val="ListParagraph"/>
        <w:numPr>
          <w:ilvl w:val="0"/>
          <w:numId w:val="29"/>
        </w:numPr>
        <w:spacing w:before="20"/>
        <w:ind w:left="662" w:hanging="259"/>
        <w:rPr>
          <w:sz w:val="26"/>
        </w:rPr>
      </w:pPr>
      <w:r w:rsidRPr="009E15F4">
        <w:rPr>
          <w:sz w:val="26"/>
        </w:rPr>
        <w:t>May n</w:t>
      </w:r>
      <w:r w:rsidR="00EF2C9D" w:rsidRPr="009E15F4">
        <w:rPr>
          <w:sz w:val="26"/>
        </w:rPr>
        <w:t>eed to shelter in place</w:t>
      </w:r>
      <w:r w:rsidRPr="009E15F4">
        <w:rPr>
          <w:sz w:val="26"/>
        </w:rPr>
        <w:t>.</w:t>
      </w:r>
      <w:bookmarkEnd w:id="97"/>
      <w:r w:rsidR="00EF2C9D" w:rsidRPr="009E15F4">
        <w:rPr>
          <w:sz w:val="26"/>
        </w:rPr>
        <w:t xml:space="preserve"> </w:t>
      </w:r>
    </w:p>
    <w:p w:rsidR="00F02A82" w:rsidRDefault="00F02A82" w:rsidP="006C100C">
      <w:pPr>
        <w:pStyle w:val="Heading3"/>
      </w:pPr>
      <w:bookmarkStart w:id="98" w:name="_Toc510441394"/>
      <w:bookmarkStart w:id="99" w:name="_Toc510627348"/>
      <w:bookmarkStart w:id="100" w:name="_Toc515545231"/>
      <w:bookmarkStart w:id="101" w:name="_Toc515545355"/>
      <w:r w:rsidRPr="002166BF">
        <w:lastRenderedPageBreak/>
        <w:t xml:space="preserve">Apply </w:t>
      </w:r>
      <w:r>
        <w:t xml:space="preserve">additional </w:t>
      </w:r>
      <w:r w:rsidRPr="002166BF">
        <w:t xml:space="preserve">assumptions </w:t>
      </w:r>
      <w:r>
        <w:t xml:space="preserve">based on the </w:t>
      </w:r>
      <w:r w:rsidRPr="002166BF">
        <w:t>scenario</w:t>
      </w:r>
      <w:bookmarkEnd w:id="98"/>
      <w:bookmarkEnd w:id="99"/>
      <w:r w:rsidR="00213917">
        <w:t>.</w:t>
      </w:r>
      <w:bookmarkEnd w:id="100"/>
      <w:bookmarkEnd w:id="101"/>
    </w:p>
    <w:p w:rsidR="00A24BB5" w:rsidRDefault="007E740A" w:rsidP="00C453D8">
      <w:pPr>
        <w:pStyle w:val="SmallText"/>
        <w:spacing w:before="20"/>
        <w:rPr>
          <w:rStyle w:val="SubtleEmphasis"/>
        </w:rPr>
      </w:pPr>
      <w:r w:rsidRPr="007E740A">
        <w:rPr>
          <w:rStyle w:val="SubtleEmphasis"/>
          <w:u w:val="single"/>
        </w:rPr>
        <w:t>Example</w:t>
      </w:r>
      <w:r>
        <w:rPr>
          <w:rStyle w:val="SubtleEmphasis"/>
        </w:rPr>
        <w:t xml:space="preserve"> - </w:t>
      </w:r>
      <w:r w:rsidR="00F02A82" w:rsidRPr="00E7789A">
        <w:rPr>
          <w:rStyle w:val="SubtleEmphasis"/>
        </w:rPr>
        <w:t>During a severe weather event, normal power and phone service may be impacted.</w:t>
      </w:r>
    </w:p>
    <w:p w:rsidR="005126B5" w:rsidRDefault="005126B5" w:rsidP="00C453D8">
      <w:pPr>
        <w:pStyle w:val="SmallText"/>
        <w:spacing w:before="20"/>
        <w:rPr>
          <w:rStyle w:val="SubtleEmphasis"/>
        </w:rPr>
      </w:pPr>
    </w:p>
    <w:p w:rsidR="005126B5" w:rsidRPr="0047034A" w:rsidRDefault="005126B5" w:rsidP="00C453D8">
      <w:pPr>
        <w:pStyle w:val="SmallText"/>
        <w:spacing w:before="20"/>
        <w:rPr>
          <w:rStyle w:val="SubtleEmphasis"/>
        </w:rPr>
      </w:pPr>
    </w:p>
    <w:p w:rsidR="00082D76" w:rsidRDefault="00D03F5D" w:rsidP="005126B5">
      <w:pPr>
        <w:pStyle w:val="Heading2"/>
      </w:pPr>
      <w:bookmarkStart w:id="102" w:name="_Toc510441396"/>
      <w:bookmarkStart w:id="103" w:name="_Toc515545356"/>
      <w:r w:rsidRPr="00BF5957">
        <w:t>D</w:t>
      </w:r>
      <w:r w:rsidR="00E75610">
        <w:t xml:space="preserve">etermine the resources </w:t>
      </w:r>
      <w:r w:rsidRPr="00BF5957">
        <w:t>essential to the facility's operation.</w:t>
      </w:r>
      <w:bookmarkEnd w:id="102"/>
      <w:bookmarkEnd w:id="103"/>
      <w:r w:rsidRPr="00BF5957">
        <w:t xml:space="preserve"> </w:t>
      </w:r>
    </w:p>
    <w:p w:rsidR="00B92118" w:rsidRDefault="00B92118" w:rsidP="006C100C">
      <w:pPr>
        <w:pStyle w:val="Heading3"/>
      </w:pPr>
      <w:bookmarkStart w:id="104" w:name="_Toc510441397"/>
      <w:bookmarkStart w:id="105" w:name="_Toc510627350"/>
      <w:bookmarkStart w:id="106" w:name="_Toc515545233"/>
      <w:bookmarkStart w:id="107" w:name="_Toc515545357"/>
      <w:r w:rsidRPr="00B92118">
        <w:t>List essential</w:t>
      </w:r>
      <w:r w:rsidR="00064C18">
        <w:t xml:space="preserve"> resources</w:t>
      </w:r>
      <w:r w:rsidRPr="00B92118">
        <w:t xml:space="preserve"> in Column B</w:t>
      </w:r>
      <w:r>
        <w:t xml:space="preserve"> of the </w:t>
      </w:r>
      <w:r w:rsidR="000507A2">
        <w:t xml:space="preserve">96 Hour Sustainability </w:t>
      </w:r>
      <w:r w:rsidR="008B401C">
        <w:t>Chart</w:t>
      </w:r>
      <w:r w:rsidRPr="00B92118">
        <w:t>.</w:t>
      </w:r>
      <w:bookmarkEnd w:id="104"/>
      <w:bookmarkEnd w:id="105"/>
      <w:bookmarkEnd w:id="106"/>
      <w:bookmarkEnd w:id="107"/>
      <w:r w:rsidRPr="00B92118">
        <w:t xml:space="preserve"> </w:t>
      </w:r>
    </w:p>
    <w:p w:rsidR="00D03F5D" w:rsidRPr="0047034A" w:rsidRDefault="00D03F5D" w:rsidP="00FE3A8D">
      <w:pPr>
        <w:pStyle w:val="SmallText"/>
      </w:pPr>
      <w:r w:rsidRPr="0047034A">
        <w:t>Column B is pre-popula</w:t>
      </w:r>
      <w:r w:rsidR="00064C18" w:rsidRPr="0047034A">
        <w:t>ted with generally applicable resources</w:t>
      </w:r>
      <w:r w:rsidR="000913AD" w:rsidRPr="0047034A">
        <w:t xml:space="preserve"> which are categorized </w:t>
      </w:r>
      <w:r w:rsidRPr="0047034A">
        <w:t>by the Joint Commission’s six Critical Functions of Environment of Care</w:t>
      </w:r>
      <w:r w:rsidR="000913AD" w:rsidRPr="0047034A">
        <w:t xml:space="preserve"> </w:t>
      </w:r>
      <w:r w:rsidR="00100B7F" w:rsidRPr="0047034A">
        <w:t>(</w:t>
      </w:r>
      <w:r w:rsidRPr="0047034A">
        <w:t>Column A</w:t>
      </w:r>
      <w:r w:rsidR="00100B7F" w:rsidRPr="0047034A">
        <w:t>)</w:t>
      </w:r>
      <w:r w:rsidRPr="0047034A">
        <w:t>:</w:t>
      </w:r>
    </w:p>
    <w:p w:rsidR="00D03F5D" w:rsidRPr="00082D76" w:rsidRDefault="00B92118" w:rsidP="00C453D8">
      <w:pPr>
        <w:pStyle w:val="SmallTextBullet"/>
        <w:numPr>
          <w:ilvl w:val="0"/>
          <w:numId w:val="0"/>
        </w:numPr>
        <w:ind w:left="576"/>
      </w:pPr>
      <w:r w:rsidRPr="00082D76">
        <w:rPr>
          <w:rStyle w:val="SubtleEmphasis"/>
          <w:i w:val="0"/>
          <w:iCs w:val="0"/>
          <w:color w:val="1F497D" w:themeColor="text2"/>
          <w:szCs w:val="26"/>
          <w14:textFill>
            <w14:solidFill>
              <w14:schemeClr w14:val="tx2">
                <w14:lumMod w14:val="50000"/>
                <w14:lumMod w14:val="95000"/>
                <w14:lumOff w14:val="5000"/>
              </w14:schemeClr>
            </w14:solidFill>
          </w14:textFill>
        </w:rPr>
        <w:t xml:space="preserve">1. </w:t>
      </w:r>
      <w:r w:rsidR="00D03F5D" w:rsidRPr="00082D76">
        <w:t>Communicating during emergency conditions.</w:t>
      </w:r>
    </w:p>
    <w:p w:rsidR="00D03F5D" w:rsidRPr="00082D76" w:rsidRDefault="00B92118" w:rsidP="00C453D8">
      <w:pPr>
        <w:pStyle w:val="SmallTextBullet"/>
        <w:numPr>
          <w:ilvl w:val="0"/>
          <w:numId w:val="0"/>
        </w:numPr>
        <w:ind w:left="576"/>
      </w:pPr>
      <w:r w:rsidRPr="00082D76">
        <w:rPr>
          <w:rStyle w:val="SubtleEmphasis"/>
          <w:i w:val="0"/>
          <w:iCs w:val="0"/>
          <w:color w:val="1F497D" w:themeColor="text2"/>
          <w:szCs w:val="26"/>
          <w14:textFill>
            <w14:solidFill>
              <w14:schemeClr w14:val="tx2">
                <w14:lumMod w14:val="50000"/>
                <w14:lumMod w14:val="95000"/>
                <w14:lumOff w14:val="5000"/>
              </w14:schemeClr>
            </w14:solidFill>
          </w14:textFill>
        </w:rPr>
        <w:t xml:space="preserve">2. </w:t>
      </w:r>
      <w:r w:rsidR="00D03F5D" w:rsidRPr="00082D76">
        <w:t>Managing resources and assets during emergency conditions.</w:t>
      </w:r>
    </w:p>
    <w:p w:rsidR="00D03F5D" w:rsidRPr="00082D76" w:rsidRDefault="00E75610" w:rsidP="00C453D8">
      <w:pPr>
        <w:pStyle w:val="SmallTextBullet"/>
        <w:numPr>
          <w:ilvl w:val="0"/>
          <w:numId w:val="0"/>
        </w:numPr>
        <w:ind w:left="576"/>
      </w:pPr>
      <w:r>
        <w:rPr>
          <w:rStyle w:val="SubtleEmphasis"/>
          <w:i w:val="0"/>
          <w:iCs w:val="0"/>
          <w:color w:val="1F497D" w:themeColor="text2"/>
          <w:szCs w:val="26"/>
          <w14:textFill>
            <w14:solidFill>
              <w14:schemeClr w14:val="tx2">
                <w14:lumMod w14:val="50000"/>
                <w14:lumMod w14:val="95000"/>
                <w14:lumOff w14:val="5000"/>
              </w14:schemeClr>
            </w14:solidFill>
          </w14:textFill>
        </w:rPr>
        <w:t xml:space="preserve">3. </w:t>
      </w:r>
      <w:r w:rsidR="00D03F5D" w:rsidRPr="00082D76">
        <w:t>Managing safety and security during emergency conditions.</w:t>
      </w:r>
    </w:p>
    <w:p w:rsidR="00D03F5D" w:rsidRPr="00082D76" w:rsidRDefault="00B92118" w:rsidP="00C453D8">
      <w:pPr>
        <w:pStyle w:val="SmallTextBullet"/>
        <w:numPr>
          <w:ilvl w:val="0"/>
          <w:numId w:val="0"/>
        </w:numPr>
        <w:ind w:left="576"/>
      </w:pPr>
      <w:r w:rsidRPr="00082D76">
        <w:rPr>
          <w:rStyle w:val="SubtleEmphasis"/>
          <w:i w:val="0"/>
          <w:iCs w:val="0"/>
          <w:color w:val="1F497D" w:themeColor="text2"/>
          <w:szCs w:val="26"/>
          <w14:textFill>
            <w14:solidFill>
              <w14:schemeClr w14:val="tx2">
                <w14:lumMod w14:val="50000"/>
                <w14:lumMod w14:val="95000"/>
                <w14:lumOff w14:val="5000"/>
              </w14:schemeClr>
            </w14:solidFill>
          </w14:textFill>
        </w:rPr>
        <w:t xml:space="preserve">4. </w:t>
      </w:r>
      <w:r w:rsidR="00D03F5D" w:rsidRPr="00082D76">
        <w:t>Defining and managing staff roles and responsibilities during emergency conditions.</w:t>
      </w:r>
    </w:p>
    <w:p w:rsidR="00D03F5D" w:rsidRPr="00082D76" w:rsidRDefault="00B92118" w:rsidP="00C453D8">
      <w:pPr>
        <w:pStyle w:val="SmallTextBullet"/>
        <w:numPr>
          <w:ilvl w:val="0"/>
          <w:numId w:val="0"/>
        </w:numPr>
        <w:ind w:left="576"/>
      </w:pPr>
      <w:r w:rsidRPr="00082D76">
        <w:rPr>
          <w:rStyle w:val="SubtleEmphasis"/>
          <w:i w:val="0"/>
          <w:iCs w:val="0"/>
          <w:color w:val="1F497D" w:themeColor="text2"/>
          <w:szCs w:val="26"/>
          <w14:textFill>
            <w14:solidFill>
              <w14:schemeClr w14:val="tx2">
                <w14:lumMod w14:val="50000"/>
                <w14:lumMod w14:val="95000"/>
                <w14:lumOff w14:val="5000"/>
              </w14:schemeClr>
            </w14:solidFill>
          </w14:textFill>
        </w:rPr>
        <w:t xml:space="preserve">5. </w:t>
      </w:r>
      <w:r w:rsidR="00D03F5D" w:rsidRPr="00082D76">
        <w:t>Managing utilities during emergency conditions.</w:t>
      </w:r>
    </w:p>
    <w:p w:rsidR="00D03F5D" w:rsidRPr="00082D76" w:rsidRDefault="00E75610" w:rsidP="00C453D8">
      <w:pPr>
        <w:pStyle w:val="SmallTextBullet"/>
        <w:numPr>
          <w:ilvl w:val="0"/>
          <w:numId w:val="0"/>
        </w:numPr>
        <w:ind w:left="576"/>
      </w:pPr>
      <w:r>
        <w:t xml:space="preserve">6. </w:t>
      </w:r>
      <w:r w:rsidR="00D03F5D" w:rsidRPr="00082D76">
        <w:t>Managing clinical activities during emergency conditions.</w:t>
      </w:r>
    </w:p>
    <w:p w:rsidR="00D03F5D" w:rsidRPr="00C453D8" w:rsidRDefault="00064C18" w:rsidP="00C453D8">
      <w:pPr>
        <w:pStyle w:val="SmallText"/>
        <w:spacing w:before="60"/>
        <w:rPr>
          <w:rStyle w:val="Emphasis"/>
          <w:i w:val="0"/>
          <w:iCs w:val="0"/>
          <w:color w:val="262626" w:themeColor="text1" w:themeTint="D9"/>
          <w:sz w:val="22"/>
        </w:rPr>
      </w:pPr>
      <w:r w:rsidRPr="00C453D8">
        <w:rPr>
          <w:rStyle w:val="Emphasis"/>
          <w:i w:val="0"/>
          <w:iCs w:val="0"/>
          <w:color w:val="262626" w:themeColor="text1" w:themeTint="D9"/>
          <w:sz w:val="22"/>
        </w:rPr>
        <w:t xml:space="preserve">The pre-populated resources </w:t>
      </w:r>
      <w:r w:rsidR="00D03F5D" w:rsidRPr="00C453D8">
        <w:rPr>
          <w:rStyle w:val="Emphasis"/>
          <w:i w:val="0"/>
          <w:iCs w:val="0"/>
          <w:color w:val="262626" w:themeColor="text1" w:themeTint="D9"/>
          <w:sz w:val="22"/>
        </w:rPr>
        <w:t>may or may not be essential to your facility’s operation during the selected e</w:t>
      </w:r>
      <w:r w:rsidRPr="00C453D8">
        <w:rPr>
          <w:rStyle w:val="Emphasis"/>
          <w:i w:val="0"/>
          <w:iCs w:val="0"/>
          <w:color w:val="262626" w:themeColor="text1" w:themeTint="D9"/>
          <w:sz w:val="22"/>
        </w:rPr>
        <w:t>mergency event. Pre-populated resources</w:t>
      </w:r>
      <w:r w:rsidR="00D03F5D" w:rsidRPr="00C453D8">
        <w:rPr>
          <w:rStyle w:val="Emphasis"/>
          <w:i w:val="0"/>
          <w:iCs w:val="0"/>
          <w:color w:val="262626" w:themeColor="text1" w:themeTint="D9"/>
          <w:sz w:val="22"/>
        </w:rPr>
        <w:t xml:space="preserve"> may be deleted, supplemented, itemized or otherwise changed to best reflect your operational needs, and may also be categorized</w:t>
      </w:r>
      <w:r w:rsidR="00883335" w:rsidRPr="00C453D8">
        <w:rPr>
          <w:rStyle w:val="Emphasis"/>
          <w:i w:val="0"/>
          <w:iCs w:val="0"/>
          <w:color w:val="262626" w:themeColor="text1" w:themeTint="D9"/>
          <w:sz w:val="22"/>
        </w:rPr>
        <w:t xml:space="preserve"> differently</w:t>
      </w:r>
      <w:r w:rsidR="00D03F5D" w:rsidRPr="00C453D8">
        <w:rPr>
          <w:rStyle w:val="Emphasis"/>
          <w:i w:val="0"/>
          <w:iCs w:val="0"/>
          <w:color w:val="262626" w:themeColor="text1" w:themeTint="D9"/>
          <w:sz w:val="22"/>
        </w:rPr>
        <w:t xml:space="preserve">.  </w:t>
      </w:r>
    </w:p>
    <w:p w:rsidR="00D03F5D" w:rsidRPr="0047034A" w:rsidRDefault="004E1FEC" w:rsidP="005126B5">
      <w:pPr>
        <w:pStyle w:val="Heading2"/>
      </w:pPr>
      <w:bookmarkStart w:id="108" w:name="_Toc515545358"/>
      <w:bookmarkStart w:id="109" w:name="_Toc510441398"/>
      <w:r w:rsidRPr="0047034A">
        <w:t xml:space="preserve">Determine </w:t>
      </w:r>
      <w:r w:rsidR="004A7AAD" w:rsidRPr="0047034A">
        <w:t xml:space="preserve">the </w:t>
      </w:r>
      <w:r w:rsidR="00804169" w:rsidRPr="0047034A">
        <w:t>Sustainability Period</w:t>
      </w:r>
      <w:r w:rsidR="004A7AAD" w:rsidRPr="0047034A">
        <w:t xml:space="preserve"> of Essential R</w:t>
      </w:r>
      <w:r w:rsidR="00064C18" w:rsidRPr="0047034A">
        <w:t>esources</w:t>
      </w:r>
      <w:bookmarkEnd w:id="108"/>
      <w:r w:rsidR="00D03F5D" w:rsidRPr="0047034A">
        <w:t xml:space="preserve"> </w:t>
      </w:r>
      <w:bookmarkEnd w:id="109"/>
    </w:p>
    <w:p w:rsidR="00DC336D" w:rsidRPr="00CE7AB3" w:rsidRDefault="00D03F5D" w:rsidP="005126B5">
      <w:pPr>
        <w:spacing w:after="40"/>
        <w:rPr>
          <w:b/>
          <w:sz w:val="26"/>
        </w:rPr>
      </w:pPr>
      <w:r w:rsidRPr="00CE7AB3">
        <w:rPr>
          <w:b/>
          <w:sz w:val="26"/>
        </w:rPr>
        <w:t>Sustainability Period</w:t>
      </w:r>
      <w:r w:rsidR="003B79C8" w:rsidRPr="00CE7AB3">
        <w:rPr>
          <w:b/>
          <w:sz w:val="26"/>
        </w:rPr>
        <w:t>s</w:t>
      </w:r>
      <w:r w:rsidRPr="00CE7AB3">
        <w:rPr>
          <w:b/>
          <w:sz w:val="26"/>
        </w:rPr>
        <w:t xml:space="preserve"> </w:t>
      </w:r>
      <w:r w:rsidR="003B79C8" w:rsidRPr="00CE7AB3">
        <w:rPr>
          <w:b/>
          <w:sz w:val="26"/>
        </w:rPr>
        <w:t xml:space="preserve">may be calculated </w:t>
      </w:r>
      <w:r w:rsidR="004A7AAD" w:rsidRPr="00CE7AB3">
        <w:rPr>
          <w:b/>
          <w:sz w:val="26"/>
        </w:rPr>
        <w:t>using one of</w:t>
      </w:r>
      <w:r w:rsidRPr="00CE7AB3">
        <w:rPr>
          <w:b/>
          <w:sz w:val="26"/>
        </w:rPr>
        <w:t xml:space="preserve"> methodologies </w:t>
      </w:r>
      <w:r w:rsidR="007E740A" w:rsidRPr="00CE7AB3">
        <w:rPr>
          <w:b/>
          <w:sz w:val="26"/>
        </w:rPr>
        <w:t>outlined below:</w:t>
      </w:r>
    </w:p>
    <w:p w:rsidR="00804169" w:rsidRPr="00636AD1" w:rsidRDefault="00ED7E0F" w:rsidP="005126B5">
      <w:pPr>
        <w:pStyle w:val="Heading3"/>
        <w:spacing w:before="60"/>
      </w:pPr>
      <w:bookmarkStart w:id="110" w:name="_Toc510627352"/>
      <w:bookmarkStart w:id="111" w:name="_Toc515545235"/>
      <w:bookmarkStart w:id="112" w:name="_Toc515545359"/>
      <w:r>
        <w:t xml:space="preserve">Use </w:t>
      </w:r>
      <w:r w:rsidR="000C4DF6" w:rsidRPr="00636AD1">
        <w:t xml:space="preserve">96 Hour </w:t>
      </w:r>
      <w:r w:rsidR="00965AEC" w:rsidRPr="00636AD1">
        <w:t xml:space="preserve">Inventory </w:t>
      </w:r>
      <w:r w:rsidR="000C4DF6" w:rsidRPr="00636AD1">
        <w:t xml:space="preserve">Sustainability </w:t>
      </w:r>
      <w:r w:rsidR="00965AEC" w:rsidRPr="00636AD1">
        <w:t xml:space="preserve">Period </w:t>
      </w:r>
      <w:r w:rsidR="000C4DF6" w:rsidRPr="00636AD1">
        <w:t xml:space="preserve">Calculator </w:t>
      </w:r>
      <w:r w:rsidR="00673961" w:rsidRPr="00636AD1">
        <w:t>for consumable resources</w:t>
      </w:r>
      <w:bookmarkEnd w:id="110"/>
      <w:bookmarkEnd w:id="111"/>
      <w:bookmarkEnd w:id="112"/>
    </w:p>
    <w:p w:rsidR="004A7AAD" w:rsidRPr="00085648" w:rsidRDefault="00B63307" w:rsidP="00CE7AB3">
      <w:pPr>
        <w:pStyle w:val="SmallText"/>
      </w:pPr>
      <w:r w:rsidRPr="00307E53">
        <w:t xml:space="preserve">The Calculator </w:t>
      </w:r>
      <w:r w:rsidR="00D626DA" w:rsidRPr="00307E53">
        <w:t xml:space="preserve">tool </w:t>
      </w:r>
      <w:r w:rsidRPr="00307E53">
        <w:t>provides a quantitative methodology for det</w:t>
      </w:r>
      <w:r w:rsidR="00D626DA" w:rsidRPr="00307E53">
        <w:t xml:space="preserve">ermining Sustainability Period of consumable resources </w:t>
      </w:r>
      <w:r w:rsidR="00D626DA" w:rsidRPr="00307E53">
        <w:rPr>
          <w:i/>
        </w:rPr>
        <w:t>(</w:t>
      </w:r>
      <w:r w:rsidR="004A7AAD" w:rsidRPr="00307E53">
        <w:rPr>
          <w:i/>
        </w:rPr>
        <w:t>see</w:t>
      </w:r>
      <w:r w:rsidR="00D626DA" w:rsidRPr="00307E53">
        <w:rPr>
          <w:i/>
        </w:rPr>
        <w:t xml:space="preserve"> </w:t>
      </w:r>
      <w:r w:rsidR="0066065C">
        <w:rPr>
          <w:i/>
          <w:u w:val="single" w:color="7F7F7F" w:themeColor="text1" w:themeTint="80"/>
        </w:rPr>
        <w:t>Calculator</w:t>
      </w:r>
      <w:r w:rsidR="00D626DA" w:rsidRPr="00307E53">
        <w:rPr>
          <w:i/>
          <w:u w:val="single" w:color="7F7F7F" w:themeColor="text1" w:themeTint="80"/>
        </w:rPr>
        <w:t xml:space="preserve"> Instructions</w:t>
      </w:r>
      <w:r w:rsidR="0066065C">
        <w:rPr>
          <w:i/>
          <w:u w:val="single" w:color="7F7F7F" w:themeColor="text1" w:themeTint="80"/>
        </w:rPr>
        <w:t xml:space="preserve"> Tab</w:t>
      </w:r>
      <w:r w:rsidR="00D626DA" w:rsidRPr="00307E53">
        <w:rPr>
          <w:i/>
        </w:rPr>
        <w:t>)</w:t>
      </w:r>
      <w:r w:rsidR="009B3E03" w:rsidRPr="00307E53">
        <w:t xml:space="preserve">. </w:t>
      </w:r>
      <w:r w:rsidR="004A7AAD" w:rsidRPr="00085648">
        <w:t>The following data is needed:</w:t>
      </w:r>
      <w:r w:rsidR="005E4624" w:rsidRPr="00085648">
        <w:t xml:space="preserve"> </w:t>
      </w:r>
    </w:p>
    <w:p w:rsidR="005E4624" w:rsidRPr="00085648" w:rsidRDefault="005E4624" w:rsidP="00CE7AB3">
      <w:pPr>
        <w:pStyle w:val="SmallTextBullet"/>
        <w:ind w:left="1296"/>
      </w:pPr>
      <w:r w:rsidRPr="00085648">
        <w:t xml:space="preserve">Average Daily Census </w:t>
      </w:r>
    </w:p>
    <w:p w:rsidR="005E4624" w:rsidRPr="00085648" w:rsidRDefault="00741C38" w:rsidP="00CE7AB3">
      <w:pPr>
        <w:pStyle w:val="SmallTextBullet"/>
        <w:ind w:left="1296"/>
      </w:pPr>
      <w:r w:rsidRPr="00085648">
        <w:t>List of Essential R</w:t>
      </w:r>
      <w:r w:rsidR="005E4624" w:rsidRPr="00085648">
        <w:t>esources</w:t>
      </w:r>
    </w:p>
    <w:p w:rsidR="005E4624" w:rsidRPr="00085648" w:rsidRDefault="00741C38" w:rsidP="00CE7AB3">
      <w:pPr>
        <w:pStyle w:val="SmallTextBullet"/>
        <w:ind w:left="1296"/>
      </w:pPr>
      <w:r w:rsidRPr="00085648">
        <w:t>Annual Consumption Rate of R</w:t>
      </w:r>
      <w:r w:rsidR="005E4624" w:rsidRPr="00085648">
        <w:t>esources</w:t>
      </w:r>
    </w:p>
    <w:p w:rsidR="004A7AAD" w:rsidRPr="008A294F" w:rsidRDefault="00741C38" w:rsidP="00CE7AB3">
      <w:pPr>
        <w:pStyle w:val="SmallTextBullet"/>
        <w:ind w:left="1296"/>
      </w:pPr>
      <w:r w:rsidRPr="00085648">
        <w:t>Actual Inventory Quantity of R</w:t>
      </w:r>
      <w:r w:rsidR="005E4624" w:rsidRPr="00085648">
        <w:t>esources</w:t>
      </w:r>
    </w:p>
    <w:p w:rsidR="004A7AAD" w:rsidRPr="00CE7AB3" w:rsidRDefault="004A7AAD" w:rsidP="0066065C">
      <w:pPr>
        <w:pStyle w:val="SmallTextBullet"/>
        <w:numPr>
          <w:ilvl w:val="0"/>
          <w:numId w:val="30"/>
        </w:numPr>
        <w:spacing w:before="20" w:after="20" w:line="192" w:lineRule="auto"/>
        <w:ind w:left="648" w:hanging="288"/>
        <w:jc w:val="left"/>
        <w:rPr>
          <w:rStyle w:val="13TextChar"/>
          <w:rFonts w:ascii="Calibri Light" w:hAnsi="Calibri Light" w:cs="Segoe UI Semilight"/>
          <w:b w:val="0"/>
          <w:color w:val="262626" w:themeColor="text1" w:themeTint="D9"/>
          <w:sz w:val="22"/>
          <w:szCs w:val="22"/>
        </w:rPr>
      </w:pPr>
      <w:r w:rsidRPr="00CE7AB3">
        <w:rPr>
          <w:rFonts w:cs="Segoe UI Semibold"/>
          <w:b/>
          <w:szCs w:val="22"/>
        </w:rPr>
        <w:t>Enter Average Daily Census</w:t>
      </w:r>
      <w:r w:rsidRPr="00CE7AB3">
        <w:rPr>
          <w:b/>
          <w:szCs w:val="22"/>
        </w:rPr>
        <w:t xml:space="preserve"> </w:t>
      </w:r>
      <w:r w:rsidR="008300F6">
        <w:rPr>
          <w:rStyle w:val="13TextChar"/>
          <w:rFonts w:ascii="Calibri Light" w:hAnsi="Calibri Light" w:cs="Segoe UI Semilight"/>
          <w:b w:val="0"/>
          <w:color w:val="262626" w:themeColor="text1" w:themeTint="D9"/>
          <w:sz w:val="22"/>
          <w:szCs w:val="22"/>
        </w:rPr>
        <w:t>in</w:t>
      </w:r>
      <w:r w:rsidRPr="00CE7AB3">
        <w:rPr>
          <w:rStyle w:val="13TextChar"/>
          <w:rFonts w:ascii="Calibri Light" w:hAnsi="Calibri Light" w:cs="Segoe UI Semilight"/>
          <w:b w:val="0"/>
          <w:color w:val="262626" w:themeColor="text1" w:themeTint="D9"/>
          <w:sz w:val="22"/>
          <w:szCs w:val="22"/>
        </w:rPr>
        <w:t xml:space="preserve"> </w:t>
      </w:r>
      <w:r w:rsidRPr="00CE7AB3">
        <w:rPr>
          <w:rStyle w:val="13TextChar"/>
          <w:rFonts w:ascii="Calibri Light" w:hAnsi="Calibri Light" w:cs="Segoe UI Semilight"/>
          <w:b w:val="0"/>
          <w:color w:val="262626" w:themeColor="text1" w:themeTint="D9"/>
          <w:sz w:val="22"/>
          <w:szCs w:val="22"/>
          <w:u w:val="single" w:color="7F7F7F" w:themeColor="text1" w:themeTint="80"/>
        </w:rPr>
        <w:t>Tab A</w:t>
      </w:r>
      <w:r w:rsidR="002851F3" w:rsidRPr="00CE7AB3">
        <w:rPr>
          <w:rStyle w:val="13TextChar"/>
          <w:rFonts w:ascii="Calibri Light" w:hAnsi="Calibri Light" w:cs="Segoe UI Semilight"/>
          <w:b w:val="0"/>
          <w:color w:val="262626" w:themeColor="text1" w:themeTint="D9"/>
          <w:sz w:val="22"/>
          <w:szCs w:val="22"/>
        </w:rPr>
        <w:t>:</w:t>
      </w:r>
      <w:r w:rsidRPr="00CE7AB3">
        <w:rPr>
          <w:rStyle w:val="13TextChar"/>
          <w:rFonts w:ascii="Calibri Light" w:hAnsi="Calibri Light" w:cs="Segoe UI Semilight"/>
          <w:b w:val="0"/>
          <w:color w:val="262626" w:themeColor="text1" w:themeTint="D9"/>
          <w:sz w:val="22"/>
          <w:szCs w:val="22"/>
        </w:rPr>
        <w:t xml:space="preserve"> </w:t>
      </w:r>
      <w:r w:rsidR="00E61F3D">
        <w:rPr>
          <w:rStyle w:val="13TextChar"/>
          <w:rFonts w:ascii="Calibri Light" w:hAnsi="Calibri Light" w:cs="Segoe UI Semilight"/>
          <w:b w:val="0"/>
          <w:color w:val="262626" w:themeColor="text1" w:themeTint="D9"/>
          <w:sz w:val="22"/>
          <w:szCs w:val="22"/>
          <w:u w:val="single" w:color="7F7F7F" w:themeColor="text1" w:themeTint="80"/>
        </w:rPr>
        <w:t>Cell J14</w:t>
      </w:r>
      <w:r w:rsidR="002851F3" w:rsidRPr="00CE7AB3">
        <w:rPr>
          <w:rStyle w:val="13TextChar"/>
          <w:rFonts w:ascii="Calibri Light" w:hAnsi="Calibri Light" w:cs="Segoe UI Semilight"/>
          <w:b w:val="0"/>
          <w:color w:val="262626" w:themeColor="text1" w:themeTint="D9"/>
          <w:sz w:val="22"/>
          <w:szCs w:val="22"/>
        </w:rPr>
        <w:t xml:space="preserve">. </w:t>
      </w:r>
      <w:r w:rsidRPr="00CE7AB3">
        <w:rPr>
          <w:rStyle w:val="13TextChar"/>
          <w:rFonts w:ascii="Calibri Light" w:hAnsi="Calibri Light" w:cs="Segoe UI Semilight"/>
          <w:b w:val="0"/>
          <w:color w:val="262626" w:themeColor="text1" w:themeTint="D9"/>
          <w:sz w:val="22"/>
          <w:szCs w:val="22"/>
        </w:rPr>
        <w:t>Average Daily Census w</w:t>
      </w:r>
      <w:r w:rsidR="002851F3" w:rsidRPr="00CE7AB3">
        <w:rPr>
          <w:rStyle w:val="13TextChar"/>
          <w:rFonts w:ascii="Calibri Light" w:hAnsi="Calibri Light" w:cs="Segoe UI Semilight"/>
          <w:b w:val="0"/>
          <w:color w:val="262626" w:themeColor="text1" w:themeTint="D9"/>
          <w:sz w:val="22"/>
          <w:szCs w:val="22"/>
        </w:rPr>
        <w:t>ill automatically populate into</w:t>
      </w:r>
      <w:r w:rsidRPr="00CE7AB3">
        <w:rPr>
          <w:rStyle w:val="13TextChar"/>
          <w:rFonts w:ascii="Calibri Light" w:hAnsi="Calibri Light" w:cs="Segoe UI Semilight"/>
          <w:b w:val="0"/>
          <w:color w:val="262626" w:themeColor="text1" w:themeTint="D9"/>
          <w:sz w:val="22"/>
          <w:szCs w:val="22"/>
        </w:rPr>
        <w:t xml:space="preserve"> </w:t>
      </w:r>
      <w:r w:rsidR="002D6A66">
        <w:rPr>
          <w:rStyle w:val="13TextChar"/>
          <w:rFonts w:ascii="Calibri Light" w:hAnsi="Calibri Light" w:cs="Segoe UI Semilight"/>
          <w:b w:val="0"/>
          <w:color w:val="262626" w:themeColor="text1" w:themeTint="D9"/>
          <w:sz w:val="22"/>
          <w:szCs w:val="22"/>
          <w:u w:val="single" w:color="7F7F7F" w:themeColor="text1" w:themeTint="80"/>
        </w:rPr>
        <w:t>Calculator Tab</w:t>
      </w:r>
      <w:r w:rsidR="002851F3" w:rsidRPr="00CE7AB3">
        <w:rPr>
          <w:rStyle w:val="13TextChar"/>
          <w:rFonts w:ascii="Calibri Light" w:hAnsi="Calibri Light" w:cs="Segoe UI Semilight"/>
          <w:b w:val="0"/>
          <w:color w:val="262626" w:themeColor="text1" w:themeTint="D9"/>
          <w:sz w:val="22"/>
          <w:szCs w:val="22"/>
        </w:rPr>
        <w:t xml:space="preserve"> </w:t>
      </w:r>
      <w:r w:rsidR="002851F3" w:rsidRPr="00CE7AB3">
        <w:rPr>
          <w:rStyle w:val="13TextChar"/>
          <w:rFonts w:ascii="Calibri Light" w:hAnsi="Calibri Light" w:cs="Segoe UI Semilight"/>
          <w:b w:val="0"/>
          <w:color w:val="262626" w:themeColor="text1" w:themeTint="D9"/>
          <w:sz w:val="22"/>
          <w:szCs w:val="22"/>
          <w:u w:val="single" w:color="7F7F7F" w:themeColor="text1" w:themeTint="80"/>
        </w:rPr>
        <w:t>Cell 2C</w:t>
      </w:r>
      <w:r w:rsidR="008300F6">
        <w:rPr>
          <w:rStyle w:val="13TextChar"/>
          <w:rFonts w:ascii="Calibri Light" w:hAnsi="Calibri Light" w:cs="Segoe UI Semilight"/>
          <w:b w:val="0"/>
          <w:color w:val="262626" w:themeColor="text1" w:themeTint="D9"/>
          <w:sz w:val="22"/>
          <w:szCs w:val="22"/>
          <w:u w:val="single" w:color="7F7F7F" w:themeColor="text1" w:themeTint="80"/>
        </w:rPr>
        <w:t>.</w:t>
      </w:r>
    </w:p>
    <w:p w:rsidR="004A7AAD" w:rsidRPr="00CE7AB3" w:rsidRDefault="004A7AAD" w:rsidP="0066065C">
      <w:pPr>
        <w:pStyle w:val="SmallTextBullet"/>
        <w:numPr>
          <w:ilvl w:val="0"/>
          <w:numId w:val="30"/>
        </w:numPr>
        <w:spacing w:after="20" w:line="192" w:lineRule="auto"/>
        <w:ind w:left="648" w:hanging="288"/>
        <w:jc w:val="left"/>
        <w:rPr>
          <w:b/>
          <w:szCs w:val="22"/>
        </w:rPr>
      </w:pPr>
      <w:r w:rsidRPr="00CE7AB3">
        <w:rPr>
          <w:rFonts w:cs="Segoe UI Semibold"/>
          <w:b/>
          <w:szCs w:val="22"/>
        </w:rPr>
        <w:t>List Essential Resources</w:t>
      </w:r>
      <w:r w:rsidRPr="00CE7AB3">
        <w:rPr>
          <w:b/>
          <w:szCs w:val="22"/>
        </w:rPr>
        <w:t xml:space="preserve"> </w:t>
      </w:r>
      <w:r w:rsidRPr="00CE7AB3">
        <w:rPr>
          <w:rStyle w:val="13TextChar"/>
          <w:rFonts w:ascii="Calibri Light" w:hAnsi="Calibri Light" w:cs="Segoe UI Semilight"/>
          <w:b w:val="0"/>
          <w:color w:val="262626" w:themeColor="text1" w:themeTint="D9"/>
          <w:sz w:val="22"/>
          <w:szCs w:val="22"/>
        </w:rPr>
        <w:t>in</w:t>
      </w:r>
      <w:r w:rsidR="002D6A66">
        <w:rPr>
          <w:rStyle w:val="13TextChar"/>
          <w:rFonts w:ascii="Calibri Light" w:hAnsi="Calibri Light" w:cs="Segoe UI Semilight"/>
          <w:b w:val="0"/>
          <w:color w:val="262626" w:themeColor="text1" w:themeTint="D9"/>
          <w:sz w:val="22"/>
          <w:szCs w:val="22"/>
        </w:rPr>
        <w:t xml:space="preserve"> </w:t>
      </w:r>
      <w:r w:rsidR="002D6A66" w:rsidRPr="002D6A66">
        <w:rPr>
          <w:rStyle w:val="13TextChar"/>
          <w:rFonts w:ascii="Calibri Light" w:hAnsi="Calibri Light" w:cs="Segoe UI Semilight"/>
          <w:b w:val="0"/>
          <w:color w:val="000000" w:themeColor="text1"/>
          <w:sz w:val="22"/>
          <w:szCs w:val="22"/>
          <w:u w:val="single" w:color="7F7F7F" w:themeColor="text1" w:themeTint="80"/>
        </w:rPr>
        <w:t>Calculator Tab</w:t>
      </w:r>
      <w:r w:rsidRPr="00CE7AB3">
        <w:rPr>
          <w:rStyle w:val="13TextChar"/>
          <w:rFonts w:ascii="Calibri Light" w:hAnsi="Calibri Light" w:cs="Segoe UI Semilight"/>
          <w:b w:val="0"/>
          <w:color w:val="262626" w:themeColor="text1" w:themeTint="D9"/>
          <w:sz w:val="22"/>
          <w:szCs w:val="22"/>
        </w:rPr>
        <w:t xml:space="preserve">. The pre-populated resources </w:t>
      </w:r>
      <w:r w:rsidR="002D6A66">
        <w:rPr>
          <w:rStyle w:val="13TextChar"/>
          <w:rFonts w:ascii="Calibri Light" w:hAnsi="Calibri Light" w:cs="Segoe UI Semilight"/>
          <w:b w:val="0"/>
          <w:color w:val="262626" w:themeColor="text1" w:themeTint="D9"/>
          <w:sz w:val="22"/>
          <w:szCs w:val="22"/>
        </w:rPr>
        <w:t xml:space="preserve">correspond </w:t>
      </w:r>
      <w:r w:rsidRPr="00CE7AB3">
        <w:rPr>
          <w:rStyle w:val="13TextChar"/>
          <w:rFonts w:ascii="Calibri Light" w:hAnsi="Calibri Light" w:cs="Segoe UI Semilight"/>
          <w:b w:val="0"/>
          <w:color w:val="262626" w:themeColor="text1" w:themeTint="D9"/>
          <w:sz w:val="22"/>
          <w:szCs w:val="22"/>
        </w:rPr>
        <w:t xml:space="preserve">to those in the </w:t>
      </w:r>
      <w:r w:rsidR="002D6A66" w:rsidRPr="002D6A66">
        <w:rPr>
          <w:rStyle w:val="13TextChar"/>
          <w:rFonts w:ascii="Calibri Light" w:hAnsi="Calibri Light" w:cs="Segoe UI Semilight"/>
          <w:b w:val="0"/>
          <w:color w:val="262626" w:themeColor="text1" w:themeTint="D9"/>
          <w:sz w:val="22"/>
          <w:szCs w:val="22"/>
          <w:u w:val="single" w:color="7F7F7F" w:themeColor="text1" w:themeTint="80"/>
        </w:rPr>
        <w:t xml:space="preserve">Emergency Operations </w:t>
      </w:r>
      <w:r w:rsidR="008B401C" w:rsidRPr="002D6A66">
        <w:rPr>
          <w:rStyle w:val="13TextChar"/>
          <w:rFonts w:ascii="Calibri Light" w:hAnsi="Calibri Light" w:cs="Segoe UI Semilight"/>
          <w:b w:val="0"/>
          <w:color w:val="262626" w:themeColor="text1" w:themeTint="D9"/>
          <w:sz w:val="22"/>
          <w:szCs w:val="22"/>
          <w:u w:val="single" w:color="7F7F7F" w:themeColor="text1" w:themeTint="80"/>
        </w:rPr>
        <w:t>Chart</w:t>
      </w:r>
      <w:r w:rsidR="002D6A66" w:rsidRPr="002D6A66">
        <w:rPr>
          <w:rStyle w:val="13TextChar"/>
          <w:rFonts w:ascii="Calibri Light" w:hAnsi="Calibri Light" w:cs="Segoe UI Semilight"/>
          <w:b w:val="0"/>
          <w:color w:val="262626" w:themeColor="text1" w:themeTint="D9"/>
          <w:sz w:val="22"/>
          <w:szCs w:val="22"/>
          <w:u w:val="single" w:color="7F7F7F" w:themeColor="text1" w:themeTint="80"/>
        </w:rPr>
        <w:t xml:space="preserve"> Tab</w:t>
      </w:r>
      <w:r w:rsidRPr="00CE7AB3">
        <w:rPr>
          <w:rStyle w:val="13TextChar"/>
          <w:rFonts w:ascii="Calibri Light" w:hAnsi="Calibri Light" w:cs="Segoe UI Semilight"/>
          <w:b w:val="0"/>
          <w:color w:val="262626" w:themeColor="text1" w:themeTint="D9"/>
          <w:sz w:val="22"/>
          <w:szCs w:val="22"/>
        </w:rPr>
        <w:t>.</w:t>
      </w:r>
      <w:r w:rsidRPr="00CE7AB3">
        <w:rPr>
          <w:b/>
          <w:szCs w:val="22"/>
        </w:rPr>
        <w:t xml:space="preserve"> </w:t>
      </w:r>
    </w:p>
    <w:p w:rsidR="004A7AAD" w:rsidRPr="00CE7AB3" w:rsidRDefault="004A7AAD" w:rsidP="0066065C">
      <w:pPr>
        <w:pStyle w:val="SmallTextBullet"/>
        <w:numPr>
          <w:ilvl w:val="0"/>
          <w:numId w:val="30"/>
        </w:numPr>
        <w:spacing w:after="20" w:line="192" w:lineRule="auto"/>
        <w:ind w:left="648" w:hanging="288"/>
        <w:jc w:val="left"/>
        <w:rPr>
          <w:rStyle w:val="13TextChar"/>
          <w:rFonts w:ascii="Calibri Light" w:hAnsi="Calibri Light" w:cs="Segoe UI Semilight"/>
          <w:b w:val="0"/>
          <w:color w:val="262626" w:themeColor="text1" w:themeTint="D9"/>
          <w:sz w:val="22"/>
          <w:szCs w:val="22"/>
        </w:rPr>
      </w:pPr>
      <w:r w:rsidRPr="00CE7AB3">
        <w:rPr>
          <w:rFonts w:cs="Segoe UI Semibold"/>
          <w:b/>
          <w:szCs w:val="22"/>
        </w:rPr>
        <w:t>Enter Annual Consumption Rate</w:t>
      </w:r>
      <w:r w:rsidRPr="00CE7AB3">
        <w:rPr>
          <w:b/>
          <w:szCs w:val="22"/>
        </w:rPr>
        <w:t xml:space="preserve"> </w:t>
      </w:r>
      <w:r w:rsidRPr="00CE7AB3">
        <w:rPr>
          <w:rStyle w:val="13TextChar"/>
          <w:rFonts w:ascii="Calibri Light" w:hAnsi="Calibri Light" w:cs="Segoe UI Semilight"/>
          <w:b w:val="0"/>
          <w:color w:val="262626" w:themeColor="text1" w:themeTint="D9"/>
          <w:sz w:val="22"/>
          <w:szCs w:val="22"/>
        </w:rPr>
        <w:t xml:space="preserve">for each Resource in </w:t>
      </w:r>
      <w:r w:rsidR="009375C7">
        <w:rPr>
          <w:rStyle w:val="13TextChar"/>
          <w:rFonts w:ascii="Calibri Light" w:hAnsi="Calibri Light" w:cs="Segoe UI Semilight"/>
          <w:b w:val="0"/>
          <w:color w:val="262626" w:themeColor="text1" w:themeTint="D9"/>
          <w:sz w:val="22"/>
          <w:szCs w:val="22"/>
          <w:u w:val="single" w:color="7F7F7F" w:themeColor="text1" w:themeTint="80"/>
        </w:rPr>
        <w:t>Annual Consumption (Column D</w:t>
      </w:r>
      <w:r w:rsidRPr="00CE7AB3">
        <w:rPr>
          <w:rStyle w:val="13TextChar"/>
          <w:rFonts w:ascii="Calibri Light" w:hAnsi="Calibri Light" w:cs="Segoe UI Semilight"/>
          <w:b w:val="0"/>
          <w:color w:val="262626" w:themeColor="text1" w:themeTint="D9"/>
          <w:sz w:val="22"/>
          <w:szCs w:val="22"/>
          <w:u w:val="single" w:color="7F7F7F" w:themeColor="text1" w:themeTint="80"/>
        </w:rPr>
        <w:t>)</w:t>
      </w:r>
      <w:r w:rsidRPr="00CE7AB3">
        <w:rPr>
          <w:rStyle w:val="13TextChar"/>
          <w:rFonts w:ascii="Calibri Light" w:hAnsi="Calibri Light" w:cs="Segoe UI Semilight"/>
          <w:b w:val="0"/>
          <w:color w:val="262626" w:themeColor="text1" w:themeTint="D9"/>
          <w:sz w:val="22"/>
          <w:szCs w:val="22"/>
          <w:u w:color="7F7F7F" w:themeColor="text1" w:themeTint="80"/>
        </w:rPr>
        <w:t>.</w:t>
      </w:r>
      <w:r w:rsidRPr="00CE7AB3">
        <w:rPr>
          <w:b/>
          <w:szCs w:val="22"/>
          <w:u w:color="7F7F7F" w:themeColor="text1" w:themeTint="80"/>
        </w:rPr>
        <w:t xml:space="preserve"> </w:t>
      </w:r>
      <w:r w:rsidRPr="00CE7AB3">
        <w:rPr>
          <w:rStyle w:val="13TextChar"/>
          <w:rFonts w:ascii="Calibri Light" w:hAnsi="Calibri Light" w:cs="Segoe UI Semilight"/>
          <w:b w:val="0"/>
          <w:color w:val="262626" w:themeColor="text1" w:themeTint="D9"/>
          <w:sz w:val="22"/>
          <w:szCs w:val="22"/>
        </w:rPr>
        <w:t xml:space="preserve">The Average Consumption Rate will automatically </w:t>
      </w:r>
      <w:r w:rsidR="004D510A" w:rsidRPr="00CE7AB3">
        <w:rPr>
          <w:rStyle w:val="13TextChar"/>
          <w:rFonts w:ascii="Calibri Light" w:hAnsi="Calibri Light" w:cs="Segoe UI Semilight"/>
          <w:b w:val="0"/>
          <w:color w:val="262626" w:themeColor="text1" w:themeTint="D9"/>
          <w:sz w:val="22"/>
          <w:szCs w:val="22"/>
        </w:rPr>
        <w:t>calculate and populate</w:t>
      </w:r>
      <w:r w:rsidRPr="00CE7AB3">
        <w:rPr>
          <w:rStyle w:val="13TextChar"/>
          <w:rFonts w:ascii="Calibri Light" w:hAnsi="Calibri Light" w:cs="Segoe UI Semilight"/>
          <w:b w:val="0"/>
          <w:color w:val="262626" w:themeColor="text1" w:themeTint="D9"/>
          <w:sz w:val="22"/>
          <w:szCs w:val="22"/>
        </w:rPr>
        <w:t xml:space="preserve"> in </w:t>
      </w:r>
      <w:r w:rsidR="009375C7" w:rsidRPr="00712FF7">
        <w:rPr>
          <w:rStyle w:val="13TextChar"/>
          <w:rFonts w:ascii="Calibri Light" w:hAnsi="Calibri Light" w:cs="Segoe UI Semilight"/>
          <w:b w:val="0"/>
          <w:color w:val="262626" w:themeColor="text1" w:themeTint="D9"/>
          <w:sz w:val="22"/>
          <w:szCs w:val="22"/>
          <w:u w:val="single" w:color="7F7F7F" w:themeColor="text1" w:themeTint="80"/>
        </w:rPr>
        <w:t>Column E</w:t>
      </w:r>
      <w:r w:rsidRPr="00CE7AB3">
        <w:rPr>
          <w:rStyle w:val="13TextChar"/>
          <w:rFonts w:ascii="Calibri Light" w:hAnsi="Calibri Light" w:cs="Segoe UI Semilight"/>
          <w:b w:val="0"/>
          <w:color w:val="262626" w:themeColor="text1" w:themeTint="D9"/>
          <w:sz w:val="22"/>
          <w:szCs w:val="22"/>
        </w:rPr>
        <w:t xml:space="preserve">. </w:t>
      </w:r>
    </w:p>
    <w:p w:rsidR="005547B5" w:rsidRPr="00CE7AB3" w:rsidRDefault="004A7AAD" w:rsidP="0066065C">
      <w:pPr>
        <w:pStyle w:val="SmallTextBullet"/>
        <w:numPr>
          <w:ilvl w:val="0"/>
          <w:numId w:val="30"/>
        </w:numPr>
        <w:spacing w:after="20" w:line="192" w:lineRule="auto"/>
        <w:ind w:left="648" w:hanging="288"/>
        <w:jc w:val="left"/>
        <w:rPr>
          <w:b/>
          <w:szCs w:val="22"/>
        </w:rPr>
      </w:pPr>
      <w:r w:rsidRPr="00CE7AB3">
        <w:rPr>
          <w:rFonts w:cs="Segoe UI Semibold"/>
          <w:b/>
          <w:szCs w:val="22"/>
        </w:rPr>
        <w:t>Enter Actual Inventory Quantity</w:t>
      </w:r>
      <w:r w:rsidRPr="00CE7AB3">
        <w:rPr>
          <w:b/>
          <w:szCs w:val="22"/>
        </w:rPr>
        <w:t xml:space="preserve"> </w:t>
      </w:r>
      <w:r w:rsidRPr="00CE7AB3">
        <w:rPr>
          <w:rStyle w:val="13TextChar"/>
          <w:rFonts w:ascii="Calibri Light" w:hAnsi="Calibri Light" w:cs="Segoe UI Semilight"/>
          <w:b w:val="0"/>
          <w:color w:val="262626" w:themeColor="text1" w:themeTint="D9"/>
          <w:sz w:val="22"/>
          <w:szCs w:val="22"/>
        </w:rPr>
        <w:t xml:space="preserve">for each resource. Enter the inventory data into the </w:t>
      </w:r>
      <w:r w:rsidRPr="00CE7AB3">
        <w:rPr>
          <w:rStyle w:val="13TextChar"/>
          <w:rFonts w:ascii="Calibri Light" w:hAnsi="Calibri Light" w:cs="Segoe UI Semilight"/>
          <w:b w:val="0"/>
          <w:color w:val="262626" w:themeColor="text1" w:themeTint="D9"/>
          <w:sz w:val="22"/>
          <w:szCs w:val="22"/>
          <w:u w:val="single" w:color="7F7F7F" w:themeColor="text1" w:themeTint="80"/>
        </w:rPr>
        <w:t>A</w:t>
      </w:r>
      <w:r w:rsidR="008300F6">
        <w:rPr>
          <w:rStyle w:val="13TextChar"/>
          <w:rFonts w:ascii="Calibri Light" w:hAnsi="Calibri Light" w:cs="Segoe UI Semilight"/>
          <w:b w:val="0"/>
          <w:color w:val="262626" w:themeColor="text1" w:themeTint="D9"/>
          <w:sz w:val="22"/>
          <w:szCs w:val="22"/>
          <w:u w:val="single" w:color="7F7F7F" w:themeColor="text1" w:themeTint="80"/>
        </w:rPr>
        <w:t xml:space="preserve">ctual Inventory Quantity (Col. </w:t>
      </w:r>
      <w:r w:rsidR="009375C7">
        <w:rPr>
          <w:rStyle w:val="13TextChar"/>
          <w:rFonts w:ascii="Calibri Light" w:hAnsi="Calibri Light" w:cs="Segoe UI Semilight"/>
          <w:b w:val="0"/>
          <w:color w:val="262626" w:themeColor="text1" w:themeTint="D9"/>
          <w:sz w:val="22"/>
          <w:szCs w:val="22"/>
          <w:u w:val="single" w:color="7F7F7F" w:themeColor="text1" w:themeTint="80"/>
        </w:rPr>
        <w:t>F</w:t>
      </w:r>
      <w:r w:rsidRPr="00CE7AB3">
        <w:rPr>
          <w:rStyle w:val="13TextChar"/>
          <w:rFonts w:ascii="Calibri Light" w:hAnsi="Calibri Light" w:cs="Segoe UI Semilight"/>
          <w:b w:val="0"/>
          <w:color w:val="262626" w:themeColor="text1" w:themeTint="D9"/>
          <w:sz w:val="22"/>
          <w:szCs w:val="22"/>
          <w:u w:val="single" w:color="7F7F7F" w:themeColor="text1" w:themeTint="80"/>
        </w:rPr>
        <w:t>)</w:t>
      </w:r>
      <w:r w:rsidRPr="00CE7AB3">
        <w:rPr>
          <w:rStyle w:val="13TextChar"/>
          <w:rFonts w:ascii="Calibri Light" w:hAnsi="Calibri Light" w:cs="Segoe UI Semilight"/>
          <w:b w:val="0"/>
          <w:color w:val="262626" w:themeColor="text1" w:themeTint="D9"/>
          <w:sz w:val="22"/>
          <w:szCs w:val="22"/>
          <w:u w:color="7F7F7F" w:themeColor="text1" w:themeTint="80"/>
        </w:rPr>
        <w:t>.</w:t>
      </w:r>
      <w:r w:rsidRPr="00CE7AB3">
        <w:rPr>
          <w:rStyle w:val="13TextChar"/>
          <w:rFonts w:ascii="Calibri Light" w:hAnsi="Calibri Light" w:cs="Segoe UI Semilight"/>
          <w:b w:val="0"/>
          <w:color w:val="262626" w:themeColor="text1" w:themeTint="D9"/>
          <w:sz w:val="22"/>
          <w:szCs w:val="22"/>
        </w:rPr>
        <w:t xml:space="preserve">  </w:t>
      </w:r>
      <w:r w:rsidRPr="00CE7AB3">
        <w:rPr>
          <w:rStyle w:val="13TextChar"/>
          <w:rFonts w:ascii="Calibri Light" w:hAnsi="Calibri Light" w:cs="Segoe UI Semilight"/>
          <w:b w:val="0"/>
          <w:color w:val="262626" w:themeColor="text1" w:themeTint="D9"/>
          <w:sz w:val="22"/>
          <w:szCs w:val="22"/>
          <w:u w:color="7F7F7F" w:themeColor="text1" w:themeTint="80"/>
        </w:rPr>
        <w:t xml:space="preserve">The </w:t>
      </w:r>
      <w:r w:rsidRPr="00CE7AB3">
        <w:rPr>
          <w:rStyle w:val="13TextChar"/>
          <w:rFonts w:ascii="Calibri Light" w:hAnsi="Calibri Light" w:cs="Segoe UI Semilight"/>
          <w:b w:val="0"/>
          <w:color w:val="262626" w:themeColor="text1" w:themeTint="D9"/>
          <w:sz w:val="22"/>
          <w:szCs w:val="22"/>
          <w:u w:val="single" w:color="7F7F7F" w:themeColor="text1" w:themeTint="80"/>
        </w:rPr>
        <w:t xml:space="preserve">Inventory Sustainability Period/Hours </w:t>
      </w:r>
      <w:r w:rsidR="008300F6">
        <w:rPr>
          <w:rStyle w:val="13TextChar"/>
          <w:rFonts w:ascii="Calibri Light" w:hAnsi="Calibri Light" w:cs="Segoe UI Semilight"/>
          <w:b w:val="0"/>
          <w:color w:val="262626" w:themeColor="text1" w:themeTint="D9"/>
          <w:sz w:val="22"/>
          <w:szCs w:val="22"/>
          <w:u w:val="single" w:color="7F7F7F" w:themeColor="text1" w:themeTint="80"/>
        </w:rPr>
        <w:t xml:space="preserve">(Col. </w:t>
      </w:r>
      <w:r w:rsidR="009375C7">
        <w:rPr>
          <w:rStyle w:val="13TextChar"/>
          <w:rFonts w:ascii="Calibri Light" w:hAnsi="Calibri Light" w:cs="Segoe UI Semilight"/>
          <w:b w:val="0"/>
          <w:color w:val="262626" w:themeColor="text1" w:themeTint="D9"/>
          <w:sz w:val="22"/>
          <w:szCs w:val="22"/>
          <w:u w:val="single" w:color="7F7F7F" w:themeColor="text1" w:themeTint="80"/>
        </w:rPr>
        <w:t>G</w:t>
      </w:r>
      <w:r w:rsidRPr="00CE7AB3">
        <w:rPr>
          <w:rStyle w:val="13TextChar"/>
          <w:rFonts w:ascii="Calibri Light" w:hAnsi="Calibri Light" w:cs="Segoe UI Semilight"/>
          <w:b w:val="0"/>
          <w:color w:val="262626" w:themeColor="text1" w:themeTint="D9"/>
          <w:sz w:val="22"/>
          <w:szCs w:val="22"/>
          <w:u w:val="single" w:color="7F7F7F" w:themeColor="text1" w:themeTint="80"/>
        </w:rPr>
        <w:t>)</w:t>
      </w:r>
      <w:r w:rsidR="008300F6">
        <w:rPr>
          <w:rStyle w:val="13TextChar"/>
          <w:rFonts w:ascii="Calibri Light" w:hAnsi="Calibri Light" w:cs="Segoe UI Semilight"/>
          <w:b w:val="0"/>
          <w:color w:val="262626" w:themeColor="text1" w:themeTint="D9"/>
          <w:sz w:val="22"/>
          <w:szCs w:val="22"/>
        </w:rPr>
        <w:t xml:space="preserve"> will automatically calculate and populate</w:t>
      </w:r>
      <w:r w:rsidRPr="00CE7AB3">
        <w:rPr>
          <w:rStyle w:val="13TextChar"/>
          <w:rFonts w:ascii="Calibri Light" w:hAnsi="Calibri Light" w:cs="Segoe UI Semilight"/>
          <w:b w:val="0"/>
          <w:color w:val="262626" w:themeColor="text1" w:themeTint="D9"/>
          <w:sz w:val="22"/>
          <w:szCs w:val="22"/>
        </w:rPr>
        <w:t>.</w:t>
      </w:r>
      <w:r w:rsidRPr="00CE7AB3">
        <w:rPr>
          <w:b/>
          <w:szCs w:val="22"/>
        </w:rPr>
        <w:t xml:space="preserve"> </w:t>
      </w:r>
    </w:p>
    <w:p w:rsidR="004A7AAD" w:rsidRPr="00CE7AB3" w:rsidRDefault="005547B5" w:rsidP="0066065C">
      <w:pPr>
        <w:pStyle w:val="SmallTextBullet"/>
        <w:numPr>
          <w:ilvl w:val="0"/>
          <w:numId w:val="30"/>
        </w:numPr>
        <w:spacing w:after="20" w:line="192" w:lineRule="auto"/>
        <w:ind w:left="648" w:hanging="288"/>
        <w:jc w:val="left"/>
        <w:rPr>
          <w:rStyle w:val="13TextChar"/>
          <w:rFonts w:ascii="Calibri Light" w:hAnsi="Calibri Light" w:cs="Segoe UI Semilight"/>
          <w:b w:val="0"/>
          <w:color w:val="262626" w:themeColor="text1" w:themeTint="D9"/>
          <w:sz w:val="22"/>
          <w:szCs w:val="22"/>
        </w:rPr>
      </w:pPr>
      <w:r w:rsidRPr="00CE7AB3">
        <w:rPr>
          <w:rFonts w:cs="Segoe UI Semibold"/>
          <w:b/>
          <w:szCs w:val="22"/>
        </w:rPr>
        <w:t xml:space="preserve">Transfer Sustainability Periods to </w:t>
      </w:r>
      <w:r w:rsidR="008B401C" w:rsidRPr="00CE7AB3">
        <w:rPr>
          <w:rFonts w:cs="Segoe UI Semibold"/>
          <w:b/>
          <w:szCs w:val="22"/>
        </w:rPr>
        <w:t>Chart</w:t>
      </w:r>
      <w:r w:rsidR="004A7AAD" w:rsidRPr="00CE7AB3">
        <w:rPr>
          <w:b/>
          <w:szCs w:val="22"/>
        </w:rPr>
        <w:t xml:space="preserve"> </w:t>
      </w:r>
      <w:r w:rsidR="004A7AAD" w:rsidRPr="00CE7AB3">
        <w:rPr>
          <w:rStyle w:val="13TextChar"/>
          <w:rFonts w:ascii="Calibri Light" w:hAnsi="Calibri Light" w:cs="Segoe UI Semilight"/>
          <w:b w:val="0"/>
          <w:color w:val="262626" w:themeColor="text1" w:themeTint="D9"/>
          <w:sz w:val="22"/>
          <w:szCs w:val="22"/>
        </w:rPr>
        <w:t xml:space="preserve">Transfer data from </w:t>
      </w:r>
      <w:r w:rsidR="004A7AAD" w:rsidRPr="00CE7AB3">
        <w:rPr>
          <w:rStyle w:val="13TextChar"/>
          <w:rFonts w:ascii="Calibri Light" w:hAnsi="Calibri Light" w:cs="Segoe UI Semilight"/>
          <w:b w:val="0"/>
          <w:color w:val="262626" w:themeColor="text1" w:themeTint="D9"/>
          <w:sz w:val="22"/>
          <w:szCs w:val="22"/>
          <w:u w:val="single" w:color="7F7F7F" w:themeColor="text1" w:themeTint="80"/>
        </w:rPr>
        <w:t>Inventory Susta</w:t>
      </w:r>
      <w:r w:rsidR="009375C7">
        <w:rPr>
          <w:rStyle w:val="13TextChar"/>
          <w:rFonts w:ascii="Calibri Light" w:hAnsi="Calibri Light" w:cs="Segoe UI Semilight"/>
          <w:b w:val="0"/>
          <w:color w:val="262626" w:themeColor="text1" w:themeTint="D9"/>
          <w:sz w:val="22"/>
          <w:szCs w:val="22"/>
          <w:u w:val="single" w:color="7F7F7F" w:themeColor="text1" w:themeTint="80"/>
        </w:rPr>
        <w:t>inability Period/Hours (Column G</w:t>
      </w:r>
      <w:r w:rsidR="004A7AAD" w:rsidRPr="00CE7AB3">
        <w:rPr>
          <w:rStyle w:val="13TextChar"/>
          <w:rFonts w:ascii="Calibri Light" w:hAnsi="Calibri Light" w:cs="Segoe UI Semilight"/>
          <w:b w:val="0"/>
          <w:color w:val="262626" w:themeColor="text1" w:themeTint="D9"/>
          <w:sz w:val="22"/>
          <w:szCs w:val="22"/>
          <w:u w:val="single" w:color="7F7F7F" w:themeColor="text1" w:themeTint="80"/>
        </w:rPr>
        <w:t>)</w:t>
      </w:r>
      <w:r w:rsidR="00B750A0" w:rsidRPr="00CE7AB3">
        <w:rPr>
          <w:rStyle w:val="13TextChar"/>
          <w:rFonts w:ascii="Calibri Light" w:hAnsi="Calibri Light" w:cs="Segoe UI Semilight"/>
          <w:b w:val="0"/>
          <w:color w:val="262626" w:themeColor="text1" w:themeTint="D9"/>
          <w:sz w:val="22"/>
          <w:szCs w:val="22"/>
        </w:rPr>
        <w:t xml:space="preserve"> to </w:t>
      </w:r>
      <w:r w:rsidR="008B401C" w:rsidRPr="00CE7AB3">
        <w:rPr>
          <w:rStyle w:val="13TextChar"/>
          <w:rFonts w:ascii="Calibri Light" w:hAnsi="Calibri Light" w:cs="Segoe UI Semilight"/>
          <w:b w:val="0"/>
          <w:color w:val="262626" w:themeColor="text1" w:themeTint="D9"/>
          <w:sz w:val="22"/>
          <w:szCs w:val="22"/>
        </w:rPr>
        <w:t>Chart</w:t>
      </w:r>
      <w:r w:rsidR="004A7AAD" w:rsidRPr="00CE7AB3">
        <w:rPr>
          <w:rStyle w:val="13TextChar"/>
          <w:rFonts w:ascii="Calibri Light" w:hAnsi="Calibri Light" w:cs="Segoe UI Semilight"/>
          <w:b w:val="0"/>
          <w:color w:val="262626" w:themeColor="text1" w:themeTint="D9"/>
          <w:sz w:val="22"/>
          <w:szCs w:val="22"/>
        </w:rPr>
        <w:t xml:space="preserve">, using color coding as described in </w:t>
      </w:r>
      <w:r w:rsidR="007E740A" w:rsidRPr="00CE7AB3">
        <w:rPr>
          <w:rStyle w:val="13TextChar"/>
          <w:rFonts w:ascii="Calibri Light" w:hAnsi="Calibri Light" w:cs="Segoe UI Semilight"/>
          <w:b w:val="0"/>
          <w:color w:val="262626" w:themeColor="text1" w:themeTint="D9"/>
          <w:sz w:val="22"/>
          <w:szCs w:val="22"/>
        </w:rPr>
        <w:t xml:space="preserve">its </w:t>
      </w:r>
      <w:r w:rsidR="004A7AAD" w:rsidRPr="00CE7AB3">
        <w:rPr>
          <w:rStyle w:val="13TextChar"/>
          <w:rFonts w:ascii="Calibri Light" w:hAnsi="Calibri Light" w:cs="Segoe UI Semilight"/>
          <w:b w:val="0"/>
          <w:color w:val="262626" w:themeColor="text1" w:themeTint="D9"/>
          <w:sz w:val="22"/>
          <w:szCs w:val="22"/>
        </w:rPr>
        <w:t>instructions.</w:t>
      </w:r>
    </w:p>
    <w:p w:rsidR="0065054C" w:rsidRPr="00CE7AB3" w:rsidRDefault="0065054C" w:rsidP="008300F6">
      <w:pPr>
        <w:pStyle w:val="NormalIndent25"/>
        <w:spacing w:before="20"/>
        <w:ind w:left="648"/>
        <w:rPr>
          <w:rStyle w:val="SubtleEmphasis"/>
        </w:rPr>
      </w:pPr>
      <w:r w:rsidRPr="00CE7AB3">
        <w:rPr>
          <w:rStyle w:val="SubtleEmphasis"/>
        </w:rPr>
        <w:t>Example: If Linen Supplies has a Column F value</w:t>
      </w:r>
      <w:r w:rsidR="00064C18" w:rsidRPr="00CE7AB3">
        <w:rPr>
          <w:rStyle w:val="SubtleEmphasis"/>
        </w:rPr>
        <w:t xml:space="preserve"> of 36 hours, Color code that resource</w:t>
      </w:r>
      <w:r w:rsidRPr="00CE7AB3">
        <w:rPr>
          <w:rStyle w:val="SubtleEmphasis"/>
        </w:rPr>
        <w:t xml:space="preserve"> row Green for through 36 hours. The time period to be coded Yellow and Red is determined using reasonable assumption process.</w:t>
      </w:r>
    </w:p>
    <w:p w:rsidR="004E1FEC" w:rsidRPr="00636AD1" w:rsidRDefault="00ED7E0F" w:rsidP="006C100C">
      <w:pPr>
        <w:pStyle w:val="Heading3"/>
      </w:pPr>
      <w:bookmarkStart w:id="113" w:name="_Toc510627353"/>
      <w:bookmarkStart w:id="114" w:name="_Toc515545236"/>
      <w:bookmarkStart w:id="115" w:name="_Toc515545360"/>
      <w:r>
        <w:t>Use o</w:t>
      </w:r>
      <w:r w:rsidR="004E1FEC" w:rsidRPr="00636AD1">
        <w:t xml:space="preserve">ther </w:t>
      </w:r>
      <w:r w:rsidR="00D52B55" w:rsidRPr="00636AD1">
        <w:t>quantitative m</w:t>
      </w:r>
      <w:r w:rsidR="004E1FEC" w:rsidRPr="00636AD1">
        <w:t>ethodologies for consumable resources.</w:t>
      </w:r>
      <w:bookmarkEnd w:id="113"/>
      <w:bookmarkEnd w:id="114"/>
      <w:bookmarkEnd w:id="115"/>
      <w:r w:rsidR="004E1FEC" w:rsidRPr="00636AD1">
        <w:t xml:space="preserve"> </w:t>
      </w:r>
    </w:p>
    <w:p w:rsidR="00B63307" w:rsidRPr="00307E53" w:rsidRDefault="00B63307" w:rsidP="00FE3A8D">
      <w:pPr>
        <w:pStyle w:val="SmallText"/>
      </w:pPr>
      <w:r w:rsidRPr="00307E53">
        <w:t xml:space="preserve">If </w:t>
      </w:r>
      <w:r w:rsidR="00673961" w:rsidRPr="00307E53">
        <w:t xml:space="preserve">the </w:t>
      </w:r>
      <w:r w:rsidRPr="00307E53">
        <w:t xml:space="preserve">Sustainability Period has been determined using </w:t>
      </w:r>
      <w:r w:rsidR="004D510A" w:rsidRPr="00307E53">
        <w:t>an</w:t>
      </w:r>
      <w:r w:rsidR="00673961" w:rsidRPr="00307E53">
        <w:t xml:space="preserve">other </w:t>
      </w:r>
      <w:r w:rsidRPr="00307E53">
        <w:t>quantitative</w:t>
      </w:r>
      <w:r w:rsidR="004D510A" w:rsidRPr="00307E53">
        <w:t xml:space="preserve"> methodology</w:t>
      </w:r>
      <w:r w:rsidRPr="00307E53">
        <w:t xml:space="preserve">, </w:t>
      </w:r>
      <w:r w:rsidR="004D510A" w:rsidRPr="00307E53">
        <w:t>this data and</w:t>
      </w:r>
      <w:r w:rsidRPr="00307E53">
        <w:t xml:space="preserve"> calculations </w:t>
      </w:r>
      <w:r w:rsidR="004D510A" w:rsidRPr="00307E53">
        <w:t xml:space="preserve">should be </w:t>
      </w:r>
      <w:r w:rsidRPr="00307E53">
        <w:t>review</w:t>
      </w:r>
      <w:r w:rsidR="004D510A" w:rsidRPr="00307E53">
        <w:t>ed and discussed</w:t>
      </w:r>
      <w:r w:rsidRPr="00307E53">
        <w:t xml:space="preserve"> by the Assessment Team.</w:t>
      </w:r>
    </w:p>
    <w:p w:rsidR="00D52B55" w:rsidRPr="00636AD1" w:rsidRDefault="00D52B55" w:rsidP="006C100C">
      <w:pPr>
        <w:pStyle w:val="Heading3"/>
      </w:pPr>
      <w:bookmarkStart w:id="116" w:name="_Toc510627354"/>
      <w:bookmarkStart w:id="117" w:name="_Toc515545237"/>
      <w:bookmarkStart w:id="118" w:name="_Toc515545361"/>
      <w:bookmarkStart w:id="119" w:name="_Toc510441399"/>
      <w:r w:rsidRPr="00636AD1">
        <w:t>A</w:t>
      </w:r>
      <w:r w:rsidR="00804169" w:rsidRPr="00636AD1">
        <w:t>pply reasonab</w:t>
      </w:r>
      <w:r w:rsidR="0065054C" w:rsidRPr="00636AD1">
        <w:t>le assumptions</w:t>
      </w:r>
      <w:r w:rsidRPr="00636AD1">
        <w:t xml:space="preserve"> when resource </w:t>
      </w:r>
      <w:r w:rsidR="00804169" w:rsidRPr="00636AD1">
        <w:t>cannot be quant</w:t>
      </w:r>
      <w:r w:rsidR="006D66C3" w:rsidRPr="00636AD1">
        <w:t>ifie</w:t>
      </w:r>
      <w:bookmarkEnd w:id="116"/>
      <w:r w:rsidR="00E44E2A" w:rsidRPr="00636AD1">
        <w:t>d</w:t>
      </w:r>
      <w:bookmarkEnd w:id="117"/>
      <w:bookmarkEnd w:id="118"/>
    </w:p>
    <w:p w:rsidR="0065054C" w:rsidRPr="00AD704C" w:rsidRDefault="00D52B55" w:rsidP="00FE3A8D">
      <w:pPr>
        <w:pStyle w:val="SmallText"/>
      </w:pPr>
      <w:r>
        <w:t>The Sustainability Period of certain non-consumable resources such as telephone service and normal electrical power cannot be determined using the quantitative methods above. T</w:t>
      </w:r>
      <w:r w:rsidR="00673961">
        <w:t xml:space="preserve">he </w:t>
      </w:r>
      <w:r w:rsidR="00673961" w:rsidRPr="00AD704C">
        <w:t>Sustainability Period</w:t>
      </w:r>
      <w:bookmarkEnd w:id="119"/>
      <w:r w:rsidRPr="00AD704C">
        <w:t xml:space="preserve"> for such resources should be determined using reasonable </w:t>
      </w:r>
      <w:r w:rsidR="00504C94" w:rsidRPr="00AD704C">
        <w:t>assumptions based</w:t>
      </w:r>
      <w:r w:rsidRPr="00AD704C">
        <w:t xml:space="preserve"> on the planning scenario. </w:t>
      </w:r>
    </w:p>
    <w:p w:rsidR="00804169" w:rsidRPr="00E44E2A" w:rsidRDefault="0065054C" w:rsidP="00E57743">
      <w:pPr>
        <w:spacing w:before="30"/>
        <w:ind w:left="360"/>
        <w:rPr>
          <w:rStyle w:val="SubtleEmphasis"/>
        </w:rPr>
      </w:pPr>
      <w:r w:rsidRPr="00FE2820">
        <w:rPr>
          <w:rStyle w:val="SubtleEmphasis"/>
          <w:u w:val="single"/>
        </w:rPr>
        <w:t>Example</w:t>
      </w:r>
      <w:r w:rsidRPr="00E44E2A">
        <w:rPr>
          <w:rStyle w:val="SubtleEmphasis"/>
        </w:rPr>
        <w:t>: Elevator – I</w:t>
      </w:r>
      <w:r w:rsidR="00804169" w:rsidRPr="00E44E2A">
        <w:rPr>
          <w:rStyle w:val="SubtleEmphasis"/>
        </w:rPr>
        <w:t xml:space="preserve">t is either working or not working, dependent on </w:t>
      </w:r>
      <w:r w:rsidRPr="00E44E2A">
        <w:rPr>
          <w:rStyle w:val="SubtleEmphasis"/>
        </w:rPr>
        <w:t xml:space="preserve">normal and emergency </w:t>
      </w:r>
      <w:r w:rsidR="00FE2820">
        <w:rPr>
          <w:rStyle w:val="SubtleEmphasis"/>
        </w:rPr>
        <w:t xml:space="preserve">power </w:t>
      </w:r>
      <w:r w:rsidRPr="00E44E2A">
        <w:rPr>
          <w:rStyle w:val="SubtleEmphasis"/>
        </w:rPr>
        <w:t>system</w:t>
      </w:r>
      <w:r w:rsidR="00FE2820">
        <w:rPr>
          <w:rStyle w:val="SubtleEmphasis"/>
        </w:rPr>
        <w:t>s</w:t>
      </w:r>
      <w:r w:rsidR="00804169" w:rsidRPr="00E44E2A">
        <w:rPr>
          <w:rStyle w:val="SubtleEmphasis"/>
        </w:rPr>
        <w:t xml:space="preserve">. </w:t>
      </w:r>
    </w:p>
    <w:p w:rsidR="00D03F5D" w:rsidRDefault="00504C94" w:rsidP="005126B5">
      <w:pPr>
        <w:pStyle w:val="Heading2"/>
      </w:pPr>
      <w:bookmarkStart w:id="120" w:name="_Toc515545362"/>
      <w:bookmarkStart w:id="121" w:name="_Toc510441405"/>
      <w:r>
        <w:t xml:space="preserve">Color Code </w:t>
      </w:r>
      <w:r w:rsidRPr="00504C94">
        <w:t xml:space="preserve">96 Hour </w:t>
      </w:r>
      <w:r w:rsidR="003164B8">
        <w:t xml:space="preserve">Operational Impact </w:t>
      </w:r>
      <w:r w:rsidR="008B401C">
        <w:t>Chart</w:t>
      </w:r>
      <w:bookmarkEnd w:id="120"/>
      <w:r w:rsidRPr="00504C94">
        <w:t xml:space="preserve"> </w:t>
      </w:r>
      <w:bookmarkEnd w:id="121"/>
    </w:p>
    <w:p w:rsidR="00B750A0" w:rsidRPr="00B750A0" w:rsidRDefault="00B750A0" w:rsidP="006C100C">
      <w:pPr>
        <w:pStyle w:val="Heading3"/>
      </w:pPr>
      <w:bookmarkStart w:id="122" w:name="_Toc515545239"/>
      <w:bookmarkStart w:id="123" w:name="_Toc515545363"/>
      <w:bookmarkStart w:id="124" w:name="_Toc510627356"/>
      <w:r>
        <w:lastRenderedPageBreak/>
        <w:t xml:space="preserve">Use Sustainability Period </w:t>
      </w:r>
      <w:r w:rsidR="00D03F5D" w:rsidRPr="00AD704C">
        <w:t xml:space="preserve">results from the Calculator, </w:t>
      </w:r>
      <w:r w:rsidR="00AA458E" w:rsidRPr="00AD704C">
        <w:t>other quantifiable calculations</w:t>
      </w:r>
      <w:r w:rsidR="00504C94" w:rsidRPr="00AD704C">
        <w:t>,</w:t>
      </w:r>
      <w:r w:rsidR="00AA458E" w:rsidRPr="00AD704C">
        <w:t xml:space="preserve"> and</w:t>
      </w:r>
      <w:r w:rsidR="00CE7AB3">
        <w:t>/or</w:t>
      </w:r>
      <w:r w:rsidR="00D03F5D" w:rsidRPr="00AD704C">
        <w:t xml:space="preserve"> reasonable </w:t>
      </w:r>
      <w:r w:rsidR="00504C94" w:rsidRPr="00AD704C">
        <w:t xml:space="preserve">planning </w:t>
      </w:r>
      <w:r w:rsidR="002851F3">
        <w:t>assumptions</w:t>
      </w:r>
      <w:r w:rsidR="00D03F5D" w:rsidRPr="00AD704C">
        <w:t xml:space="preserve"> </w:t>
      </w:r>
      <w:r>
        <w:t xml:space="preserve">to </w:t>
      </w:r>
      <w:r w:rsidR="00D03F5D" w:rsidRPr="00AD704C">
        <w:t xml:space="preserve">color code </w:t>
      </w:r>
      <w:r w:rsidR="00504C94" w:rsidRPr="00AD704C">
        <w:t xml:space="preserve">the 96 Hour </w:t>
      </w:r>
      <w:r w:rsidR="003164B8">
        <w:t xml:space="preserve">Operational Impact </w:t>
      </w:r>
      <w:r w:rsidR="008B401C">
        <w:t>Chart</w:t>
      </w:r>
      <w:r w:rsidR="00CE7AB3">
        <w:t>:</w:t>
      </w:r>
      <w:bookmarkEnd w:id="122"/>
      <w:bookmarkEnd w:id="123"/>
      <w:r w:rsidR="00504C94" w:rsidRPr="00AD704C">
        <w:t xml:space="preserve"> </w:t>
      </w:r>
      <w:bookmarkEnd w:id="124"/>
    </w:p>
    <w:p w:rsidR="006A05EF" w:rsidRPr="00376D6F" w:rsidRDefault="00D03F5D" w:rsidP="005126B5">
      <w:pPr>
        <w:pStyle w:val="SmallText"/>
        <w:rPr>
          <w:rStyle w:val="SmallTextChar"/>
        </w:rPr>
      </w:pPr>
      <w:bookmarkStart w:id="125" w:name="_Toc510627357"/>
      <w:r w:rsidRPr="00CE7AB3">
        <w:rPr>
          <w:rFonts w:cs="Segoe UI Semibold"/>
          <w:b/>
        </w:rPr>
        <w:t>Gree</w:t>
      </w:r>
      <w:r w:rsidR="00F6436D" w:rsidRPr="00CE7AB3">
        <w:rPr>
          <w:rFonts w:cs="Segoe UI Semibold"/>
          <w:b/>
        </w:rPr>
        <w:t>n</w:t>
      </w:r>
      <w:r w:rsidR="00CE7AB3" w:rsidRPr="00CE7AB3">
        <w:rPr>
          <w:rFonts w:cs="Segoe UI Semibold"/>
          <w:b/>
        </w:rPr>
        <w:t xml:space="preserve"> </w:t>
      </w:r>
      <w:r w:rsidR="00CE7AB3" w:rsidRPr="00CE7AB3">
        <w:rPr>
          <w:rFonts w:cs="Segoe UI Semibold"/>
          <w:sz w:val="14"/>
        </w:rPr>
        <w:t xml:space="preserve"> </w:t>
      </w:r>
      <w:r w:rsidR="00CE7AB3">
        <w:rPr>
          <w:rFonts w:cs="Segoe UI Semibold"/>
          <w:sz w:val="14"/>
        </w:rPr>
        <w:t xml:space="preserve"> </w:t>
      </w:r>
      <w:r w:rsidR="00F6436D" w:rsidRPr="00376D6F">
        <w:rPr>
          <w:rStyle w:val="SmallTextChar"/>
        </w:rPr>
        <w:t>R</w:t>
      </w:r>
      <w:r w:rsidRPr="00376D6F">
        <w:rPr>
          <w:rStyle w:val="SmallTextChar"/>
        </w:rPr>
        <w:t>esources are known or calculated to be available with no impact on normal operations.</w:t>
      </w:r>
      <w:bookmarkEnd w:id="125"/>
      <w:r w:rsidR="00EF44A2" w:rsidRPr="00CE7AB3">
        <w:rPr>
          <w:rStyle w:val="SmallTextChar"/>
          <w:sz w:val="20"/>
        </w:rPr>
        <w:t xml:space="preserve"> </w:t>
      </w:r>
      <w:r w:rsidR="00CE7AB3">
        <w:rPr>
          <w:rStyle w:val="SmallTextChar"/>
        </w:rPr>
        <w:t>A</w:t>
      </w:r>
      <w:r w:rsidR="005126B5">
        <w:rPr>
          <w:rStyle w:val="SmallTextChar"/>
        </w:rPr>
        <w:t xml:space="preserve">ll </w:t>
      </w:r>
      <w:r w:rsidR="006A05EF" w:rsidRPr="00376D6F">
        <w:rPr>
          <w:rStyle w:val="SmallTextChar"/>
        </w:rPr>
        <w:t>patient, staff and visitor services can continue without any discernible impact or change.</w:t>
      </w:r>
    </w:p>
    <w:p w:rsidR="00D03F5D" w:rsidRDefault="00D03F5D" w:rsidP="00CE7AB3">
      <w:pPr>
        <w:spacing w:before="30"/>
        <w:ind w:left="360"/>
        <w:rPr>
          <w:rStyle w:val="SubtleEmphasis"/>
        </w:rPr>
      </w:pPr>
      <w:r w:rsidRPr="00526DA8">
        <w:rPr>
          <w:rStyle w:val="SubtleEmphasis"/>
          <w:u w:val="single"/>
        </w:rPr>
        <w:t>Example</w:t>
      </w:r>
      <w:r w:rsidR="00FE2820" w:rsidRPr="00FE2820">
        <w:rPr>
          <w:rStyle w:val="SubtleEmphasis"/>
        </w:rPr>
        <w:t>:</w:t>
      </w:r>
      <w:r w:rsidR="00FE2820">
        <w:rPr>
          <w:rStyle w:val="SubtleEmphasis"/>
        </w:rPr>
        <w:t xml:space="preserve"> Potable Water-</w:t>
      </w:r>
      <w:r w:rsidRPr="00AD704C">
        <w:rPr>
          <w:rStyle w:val="SubtleEmphasis"/>
        </w:rPr>
        <w:t>Quanti</w:t>
      </w:r>
      <w:r w:rsidR="00FE2820">
        <w:rPr>
          <w:rStyle w:val="SubtleEmphasis"/>
        </w:rPr>
        <w:t>tatively determined to be 72 H</w:t>
      </w:r>
      <w:r w:rsidRPr="00AD704C">
        <w:rPr>
          <w:rStyle w:val="SubtleEmphasis"/>
        </w:rPr>
        <w:t>r Sustainability Period. Color code Green</w:t>
      </w:r>
      <w:r w:rsidR="00FE2820">
        <w:rPr>
          <w:rStyle w:val="SubtleEmphasis"/>
        </w:rPr>
        <w:t xml:space="preserve"> Hour 0–</w:t>
      </w:r>
      <w:r w:rsidRPr="00AD704C">
        <w:rPr>
          <w:rStyle w:val="SubtleEmphasis"/>
        </w:rPr>
        <w:t>72.</w:t>
      </w:r>
    </w:p>
    <w:p w:rsidR="006A05EF" w:rsidRPr="00CE7AB3" w:rsidRDefault="00D03F5D" w:rsidP="005126B5">
      <w:pPr>
        <w:pStyle w:val="SmallText"/>
      </w:pPr>
      <w:bookmarkStart w:id="126" w:name="_Toc510627358"/>
      <w:r w:rsidRPr="00CE7AB3">
        <w:rPr>
          <w:rFonts w:cs="Segoe UI Semibold"/>
          <w:b/>
        </w:rPr>
        <w:t>Yello</w:t>
      </w:r>
      <w:r w:rsidR="00F6436D" w:rsidRPr="00CE7AB3">
        <w:rPr>
          <w:rFonts w:cs="Segoe UI Semibold"/>
          <w:b/>
        </w:rPr>
        <w:t>w</w:t>
      </w:r>
      <w:r w:rsidR="00F6436D" w:rsidRPr="00CE7AB3">
        <w:t xml:space="preserve"> </w:t>
      </w:r>
      <w:r w:rsidR="00136574">
        <w:rPr>
          <w:sz w:val="20"/>
        </w:rPr>
        <w:t xml:space="preserve"> </w:t>
      </w:r>
      <w:r w:rsidR="00AE780A">
        <w:rPr>
          <w:sz w:val="20"/>
        </w:rPr>
        <w:t xml:space="preserve"> </w:t>
      </w:r>
      <w:r w:rsidRPr="00376D6F">
        <w:rPr>
          <w:rStyle w:val="SmallTextChar"/>
        </w:rPr>
        <w:t xml:space="preserve">Potential exists for impact on normal operations. Implement appropriate Emergency Operations </w:t>
      </w:r>
      <w:r w:rsidRPr="00CE7AB3">
        <w:t xml:space="preserve">Plans to mitigate the impact </w:t>
      </w:r>
      <w:r w:rsidR="00136574" w:rsidRPr="00CE7AB3">
        <w:t xml:space="preserve"> </w:t>
      </w:r>
      <w:r w:rsidRPr="00CE7AB3">
        <w:t>of a sustained event.</w:t>
      </w:r>
      <w:bookmarkEnd w:id="126"/>
      <w:r w:rsidRPr="00CE7AB3">
        <w:t xml:space="preserve"> </w:t>
      </w:r>
      <w:r w:rsidR="006A05EF" w:rsidRPr="00CE7AB3">
        <w:t>Indicates that some patient, staff or visitor services may be reduced or suspended.  It is likely that elective surgeries may be affected and that some or all outpatient or non-urgent services may be t</w:t>
      </w:r>
      <w:r w:rsidR="00B750A0" w:rsidRPr="00CE7AB3">
        <w:t>emporarily suspended.  Visitors</w:t>
      </w:r>
      <w:r w:rsidR="006A05EF" w:rsidRPr="00CE7AB3">
        <w:t>/ visiting hours may be limited.</w:t>
      </w:r>
      <w:r w:rsidR="00636AD1" w:rsidRPr="00CE7AB3">
        <w:t xml:space="preserve"> </w:t>
      </w:r>
      <w:r w:rsidR="006A05EF" w:rsidRPr="00CE7AB3">
        <w:t xml:space="preserve">Conservation measures or other contingencies may be required. Will need to obtain needed resources and/or implement effective conservation measures and contingencies to sustain essential services or implement diversion and partial or total evacuation if indicated.  </w:t>
      </w:r>
    </w:p>
    <w:p w:rsidR="00D03F5D" w:rsidRPr="00465E2D" w:rsidRDefault="00D03F5D" w:rsidP="00CE7AB3">
      <w:pPr>
        <w:spacing w:before="30"/>
        <w:ind w:left="360"/>
        <w:rPr>
          <w:rStyle w:val="SubtleEmphasis"/>
        </w:rPr>
      </w:pPr>
      <w:r w:rsidRPr="00EF44A2">
        <w:rPr>
          <w:rStyle w:val="SubtleEmphasis"/>
          <w:u w:val="single"/>
        </w:rPr>
        <w:t>Example</w:t>
      </w:r>
      <w:r w:rsidRPr="00FE2820">
        <w:rPr>
          <w:rStyle w:val="SubtleEmphasis"/>
        </w:rPr>
        <w:t>:</w:t>
      </w:r>
      <w:r w:rsidR="000C4DF6" w:rsidRPr="00FE2820">
        <w:rPr>
          <w:rStyle w:val="SubtleEmphasis"/>
        </w:rPr>
        <w:t xml:space="preserve"> </w:t>
      </w:r>
      <w:r w:rsidRPr="00465E2D">
        <w:rPr>
          <w:rStyle w:val="SubtleEmphasis"/>
        </w:rPr>
        <w:t>Elevator - Sustainability Period is dependent on Emergency Electrical System. Determine that it can be shut down with minimal impact on normal operations for duration of event. Color code Yellow Hour 0 – 96.</w:t>
      </w:r>
    </w:p>
    <w:p w:rsidR="006A05EF" w:rsidRPr="00376D6F" w:rsidRDefault="00D03F5D" w:rsidP="00CE7AB3">
      <w:pPr>
        <w:pStyle w:val="SmallText"/>
        <w:rPr>
          <w:rStyle w:val="SmallTextChar"/>
        </w:rPr>
      </w:pPr>
      <w:bookmarkStart w:id="127" w:name="_Toc510627359"/>
      <w:r w:rsidRPr="00CE7AB3">
        <w:rPr>
          <w:rFonts w:cs="Segoe UI Semibold"/>
          <w:b/>
        </w:rPr>
        <w:t>Red</w:t>
      </w:r>
      <w:r w:rsidR="00CE7AB3">
        <w:rPr>
          <w:rFonts w:cs="Segoe UI Semibold"/>
          <w:b/>
        </w:rPr>
        <w:t xml:space="preserve">   </w:t>
      </w:r>
      <w:r w:rsidRPr="00376D6F">
        <w:rPr>
          <w:rStyle w:val="SmallTextChar"/>
        </w:rPr>
        <w:t>Normal and emergency operations are significantly im</w:t>
      </w:r>
      <w:r w:rsidR="00465E2D" w:rsidRPr="00376D6F">
        <w:rPr>
          <w:rStyle w:val="SmallTextChar"/>
        </w:rPr>
        <w:t xml:space="preserve">pacted.  </w:t>
      </w:r>
      <w:r w:rsidR="00CE7AB3">
        <w:rPr>
          <w:rStyle w:val="SmallTextChar"/>
        </w:rPr>
        <w:t xml:space="preserve"> </w:t>
      </w:r>
      <w:r w:rsidR="00465E2D" w:rsidRPr="00376D6F">
        <w:rPr>
          <w:rStyle w:val="SmallTextChar"/>
        </w:rPr>
        <w:t xml:space="preserve">All internal resources and </w:t>
      </w:r>
      <w:r w:rsidRPr="00376D6F">
        <w:rPr>
          <w:rStyle w:val="SmallTextChar"/>
        </w:rPr>
        <w:t>strategies to mitigate impact have been depleted.</w:t>
      </w:r>
      <w:bookmarkEnd w:id="127"/>
      <w:r w:rsidR="00AE780A" w:rsidRPr="00376D6F">
        <w:rPr>
          <w:rStyle w:val="SmallTextChar"/>
        </w:rPr>
        <w:t xml:space="preserve"> </w:t>
      </w:r>
      <w:r w:rsidR="006A05EF" w:rsidRPr="00376D6F">
        <w:rPr>
          <w:rStyle w:val="SmallTextChar"/>
        </w:rPr>
        <w:t xml:space="preserve">May need to consider </w:t>
      </w:r>
      <w:r w:rsidR="00AE780A" w:rsidRPr="00376D6F">
        <w:rPr>
          <w:rStyle w:val="SmallTextChar"/>
        </w:rPr>
        <w:t xml:space="preserve">denying incoming visitors/patient admission. </w:t>
      </w:r>
      <w:r w:rsidR="006A05EF" w:rsidRPr="00376D6F">
        <w:rPr>
          <w:rStyle w:val="SmallTextChar"/>
        </w:rPr>
        <w:t>All but the most critical, life-saving pr</w:t>
      </w:r>
      <w:r w:rsidR="00AE780A" w:rsidRPr="00376D6F">
        <w:rPr>
          <w:rStyle w:val="SmallTextChar"/>
        </w:rPr>
        <w:t>ocedures will be discontinued. Partial/total evacuation in progress. P</w:t>
      </w:r>
      <w:r w:rsidR="006A05EF" w:rsidRPr="00376D6F">
        <w:rPr>
          <w:rStyle w:val="SmallTextChar"/>
        </w:rPr>
        <w:t xml:space="preserve">atients </w:t>
      </w:r>
      <w:r w:rsidR="00AE780A" w:rsidRPr="00376D6F">
        <w:rPr>
          <w:rStyle w:val="SmallTextChar"/>
        </w:rPr>
        <w:t xml:space="preserve">to </w:t>
      </w:r>
      <w:r w:rsidR="006A05EF" w:rsidRPr="00376D6F">
        <w:rPr>
          <w:rStyle w:val="SmallTextChar"/>
        </w:rPr>
        <w:t xml:space="preserve">be transferred to other </w:t>
      </w:r>
      <w:r w:rsidR="00465E2D" w:rsidRPr="00376D6F">
        <w:rPr>
          <w:rStyle w:val="SmallTextChar"/>
        </w:rPr>
        <w:t>facilities.</w:t>
      </w:r>
    </w:p>
    <w:p w:rsidR="00D03F5D" w:rsidRPr="00465E2D" w:rsidRDefault="009B3E03" w:rsidP="00CE7AB3">
      <w:pPr>
        <w:spacing w:before="20"/>
        <w:ind w:left="360"/>
        <w:rPr>
          <w:rStyle w:val="SubtleEmphasis"/>
        </w:rPr>
      </w:pPr>
      <w:r w:rsidRPr="00465E2D">
        <w:rPr>
          <w:rStyle w:val="SubtleEmphasis"/>
          <w:u w:val="single"/>
        </w:rPr>
        <w:t>Example</w:t>
      </w:r>
      <w:r w:rsidR="000C4DF6" w:rsidRPr="00465E2D">
        <w:rPr>
          <w:rStyle w:val="SubtleEmphasis"/>
          <w:u w:val="single"/>
        </w:rPr>
        <w:t>:</w:t>
      </w:r>
      <w:r w:rsidR="000C4DF6" w:rsidRPr="00FE2820">
        <w:rPr>
          <w:rStyle w:val="SubtleEmphasis"/>
        </w:rPr>
        <w:t xml:space="preserve"> </w:t>
      </w:r>
      <w:r w:rsidR="00D03F5D" w:rsidRPr="00465E2D">
        <w:rPr>
          <w:rStyle w:val="SubtleEmphasis"/>
        </w:rPr>
        <w:t>Potable Water - No mitigation identified past 72 Hour Sustainability Period. Color Code Red Hour 74 – 96.</w:t>
      </w:r>
    </w:p>
    <w:p w:rsidR="00BF5957" w:rsidRPr="00FE2820" w:rsidRDefault="00AB5F65" w:rsidP="005126B5">
      <w:pPr>
        <w:pStyle w:val="Heading2"/>
      </w:pPr>
      <w:bookmarkStart w:id="128" w:name="_Toc510441406"/>
      <w:bookmarkStart w:id="129" w:name="_Toc515545364"/>
      <w:r w:rsidRPr="00FE2820">
        <w:t xml:space="preserve">Identify Sustainability Gaps &amp; </w:t>
      </w:r>
      <w:r w:rsidR="00BF5957" w:rsidRPr="00FE2820">
        <w:t>Mitigation Strategies</w:t>
      </w:r>
      <w:bookmarkEnd w:id="128"/>
      <w:bookmarkEnd w:id="129"/>
    </w:p>
    <w:p w:rsidR="0058704A" w:rsidRDefault="0058704A" w:rsidP="006C100C">
      <w:pPr>
        <w:pStyle w:val="Heading3"/>
      </w:pPr>
      <w:bookmarkStart w:id="130" w:name="_Toc515545365"/>
      <w:bookmarkStart w:id="131" w:name="_Toc510441407"/>
      <w:bookmarkStart w:id="132" w:name="_Toc510627361"/>
      <w:r>
        <w:t xml:space="preserve">Identify conservation </w:t>
      </w:r>
      <w:r w:rsidR="003041CF">
        <w:t xml:space="preserve">and mitigation </w:t>
      </w:r>
      <w:r>
        <w:t>strategies that may extend sustainability.</w:t>
      </w:r>
      <w:bookmarkEnd w:id="130"/>
    </w:p>
    <w:p w:rsidR="0058704A" w:rsidRPr="0058704A" w:rsidRDefault="003041CF" w:rsidP="00FE3A8D">
      <w:pPr>
        <w:pStyle w:val="SmallText"/>
      </w:pPr>
      <w:r>
        <w:t>Departments should develop consumption and operational adjustment measures</w:t>
      </w:r>
      <w:r w:rsidR="0058704A" w:rsidRPr="0058704A">
        <w:t xml:space="preserve"> for </w:t>
      </w:r>
      <w:r>
        <w:t>item</w:t>
      </w:r>
      <w:r w:rsidR="0014597B">
        <w:t>s</w:t>
      </w:r>
      <w:r>
        <w:t xml:space="preserve"> on the inventory list.</w:t>
      </w:r>
    </w:p>
    <w:p w:rsidR="00B750A0" w:rsidRDefault="00BF5957" w:rsidP="006C100C">
      <w:pPr>
        <w:pStyle w:val="Heading3"/>
      </w:pPr>
      <w:bookmarkStart w:id="133" w:name="_Toc510441408"/>
      <w:bookmarkStart w:id="134" w:name="_Toc510627362"/>
      <w:bookmarkStart w:id="135" w:name="_Toc515545366"/>
      <w:bookmarkEnd w:id="131"/>
      <w:bookmarkEnd w:id="132"/>
      <w:r w:rsidRPr="00526DA8">
        <w:t>Estimate the period that mitigation strategies may extend the ability of the facility to function under emergency operations by applying reasonable assumption</w:t>
      </w:r>
      <w:bookmarkEnd w:id="133"/>
      <w:bookmarkEnd w:id="134"/>
      <w:r w:rsidR="00052673">
        <w:t>.</w:t>
      </w:r>
      <w:bookmarkEnd w:id="135"/>
    </w:p>
    <w:p w:rsidR="00052673" w:rsidRDefault="00052673" w:rsidP="006C100C">
      <w:pPr>
        <w:pStyle w:val="Heading3"/>
      </w:pPr>
      <w:bookmarkStart w:id="136" w:name="_Toc515545367"/>
      <w:r>
        <w:t>Review plans and mitigation strategies for areas coded “Red”.</w:t>
      </w:r>
      <w:bookmarkEnd w:id="136"/>
    </w:p>
    <w:p w:rsidR="003041CF" w:rsidRPr="003041CF" w:rsidRDefault="003041CF" w:rsidP="00FE3A8D">
      <w:pPr>
        <w:pStyle w:val="SmallTextBullet"/>
      </w:pPr>
      <w:r>
        <w:t>C</w:t>
      </w:r>
      <w:r w:rsidRPr="003041CF">
        <w:t xml:space="preserve">an </w:t>
      </w:r>
      <w:r>
        <w:t xml:space="preserve">identified resource </w:t>
      </w:r>
      <w:r w:rsidRPr="003041CF">
        <w:t>inventory</w:t>
      </w:r>
      <w:r>
        <w:t xml:space="preserve"> be stockpiled or increased prior to an anticipated event?</w:t>
      </w:r>
    </w:p>
    <w:p w:rsidR="003041CF" w:rsidRPr="003041CF" w:rsidRDefault="003041CF" w:rsidP="00FE3A8D">
      <w:pPr>
        <w:pStyle w:val="SmallTextBullet"/>
      </w:pPr>
      <w:r>
        <w:t xml:space="preserve">What consumption adjustments and </w:t>
      </w:r>
      <w:r w:rsidRPr="003041CF">
        <w:t xml:space="preserve">operational changes </w:t>
      </w:r>
      <w:r>
        <w:t>will be necessitated during an event?</w:t>
      </w:r>
    </w:p>
    <w:p w:rsidR="00965AEC" w:rsidRDefault="00965AEC" w:rsidP="00FE3A8D">
      <w:pPr>
        <w:pStyle w:val="SmallTextBullet"/>
      </w:pPr>
      <w:r>
        <w:t xml:space="preserve">Are response </w:t>
      </w:r>
      <w:r w:rsidR="003041CF">
        <w:t xml:space="preserve">expectations </w:t>
      </w:r>
      <w:r>
        <w:t>of your vendors</w:t>
      </w:r>
      <w:r w:rsidR="003041CF">
        <w:t xml:space="preserve"> defined and realistic response capabilities</w:t>
      </w:r>
      <w:r>
        <w:t xml:space="preserve"> understood? </w:t>
      </w:r>
    </w:p>
    <w:p w:rsidR="00965AEC" w:rsidRPr="00965AEC" w:rsidRDefault="00965AEC" w:rsidP="00FE3A8D">
      <w:pPr>
        <w:pStyle w:val="SmallTextBullet"/>
      </w:pPr>
      <w:r>
        <w:t>Ensure that supplies and medications are available from multiple sources</w:t>
      </w:r>
      <w:r w:rsidR="008300F6">
        <w:t>.</w:t>
      </w:r>
    </w:p>
    <w:p w:rsidR="00764169" w:rsidRPr="007E636B" w:rsidRDefault="00764169" w:rsidP="007A2D40">
      <w:pPr>
        <w:pStyle w:val="Heading1"/>
      </w:pPr>
      <w:bookmarkStart w:id="137" w:name="_Toc515545368"/>
      <w:r w:rsidRPr="007E636B">
        <w:t>Appendix</w:t>
      </w:r>
      <w:r w:rsidR="008A2D1A" w:rsidRPr="007E636B">
        <w:t>:</w:t>
      </w:r>
      <w:bookmarkEnd w:id="137"/>
      <w:r w:rsidR="008A2D1A" w:rsidRPr="007E636B">
        <w:t xml:space="preserve"> </w:t>
      </w:r>
    </w:p>
    <w:p w:rsidR="00510BCE" w:rsidRPr="007E636B" w:rsidRDefault="000913AD" w:rsidP="007E636B">
      <w:pPr>
        <w:pStyle w:val="Heading2"/>
        <w:numPr>
          <w:ilvl w:val="0"/>
          <w:numId w:val="9"/>
        </w:numPr>
      </w:pPr>
      <w:bookmarkStart w:id="138" w:name="_Toc515545369"/>
      <w:r w:rsidRPr="007E636B">
        <w:t xml:space="preserve">96 Hour Sustainability </w:t>
      </w:r>
      <w:r w:rsidR="00510BCE" w:rsidRPr="007E636B">
        <w:t>Assessment Tools &amp; Documents</w:t>
      </w:r>
      <w:bookmarkEnd w:id="138"/>
    </w:p>
    <w:p w:rsidR="00376D6F" w:rsidRPr="007E636B" w:rsidRDefault="00D76C9A" w:rsidP="005126B5">
      <w:pPr>
        <w:pStyle w:val="Heading3"/>
        <w:numPr>
          <w:ilvl w:val="0"/>
          <w:numId w:val="0"/>
        </w:numPr>
        <w:rPr>
          <w:rStyle w:val="Heading3Char"/>
          <w:b/>
        </w:rPr>
      </w:pPr>
      <w:bookmarkStart w:id="139" w:name="_Toc515545370"/>
      <w:r w:rsidRPr="007E636B">
        <w:rPr>
          <w:rStyle w:val="Heading3Char"/>
          <w:b/>
        </w:rPr>
        <w:t xml:space="preserve">96 Hour </w:t>
      </w:r>
      <w:r w:rsidR="00C46856" w:rsidRPr="007E636B">
        <w:rPr>
          <w:rStyle w:val="Heading3Char"/>
          <w:b/>
        </w:rPr>
        <w:t xml:space="preserve">Operational Impact </w:t>
      </w:r>
      <w:r w:rsidR="008B401C" w:rsidRPr="007E636B">
        <w:rPr>
          <w:rStyle w:val="Heading3Char"/>
          <w:b/>
        </w:rPr>
        <w:t>Chart</w:t>
      </w:r>
      <w:bookmarkEnd w:id="139"/>
      <w:r w:rsidRPr="007E636B">
        <w:rPr>
          <w:rStyle w:val="Heading3Char"/>
          <w:b/>
        </w:rPr>
        <w:t xml:space="preserve"> </w:t>
      </w:r>
      <w:r w:rsidR="00136574" w:rsidRPr="007E636B">
        <w:rPr>
          <w:rStyle w:val="Heading3Char"/>
          <w:b/>
        </w:rPr>
        <w:t xml:space="preserve"> </w:t>
      </w:r>
    </w:p>
    <w:p w:rsidR="00D76C9A" w:rsidRPr="00136574" w:rsidRDefault="00D76C9A" w:rsidP="007A2D40">
      <w:pPr>
        <w:pStyle w:val="SmallText"/>
        <w:ind w:left="0"/>
      </w:pPr>
      <w:r w:rsidRPr="00136574">
        <w:t xml:space="preserve">Visual analysis of sustainability periods and gaps that may impact operations. </w:t>
      </w:r>
    </w:p>
    <w:p w:rsidR="00376D6F" w:rsidRPr="00ED7E0F" w:rsidRDefault="00D76C9A" w:rsidP="005126B5">
      <w:pPr>
        <w:pStyle w:val="Heading3"/>
        <w:numPr>
          <w:ilvl w:val="0"/>
          <w:numId w:val="0"/>
        </w:numPr>
        <w:rPr>
          <w:rStyle w:val="Emphasis"/>
          <w:i w:val="0"/>
          <w:iCs w:val="0"/>
          <w:color w:val="000000" w:themeColor="text1"/>
          <w:sz w:val="22"/>
        </w:rPr>
      </w:pPr>
      <w:bookmarkStart w:id="140" w:name="_Toc515545371"/>
      <w:r w:rsidRPr="00ED7E0F">
        <w:t xml:space="preserve">96 Hour </w:t>
      </w:r>
      <w:r w:rsidR="00C46856" w:rsidRPr="007A2D40">
        <w:t>Inventory</w:t>
      </w:r>
      <w:r w:rsidR="00C46856" w:rsidRPr="00ED7E0F">
        <w:t xml:space="preserve"> </w:t>
      </w:r>
      <w:r w:rsidRPr="00ED7E0F">
        <w:t xml:space="preserve">Sustainability </w:t>
      </w:r>
      <w:r w:rsidR="00C46856" w:rsidRPr="00ED7E0F">
        <w:t xml:space="preserve">Period </w:t>
      </w:r>
      <w:r w:rsidRPr="00ED7E0F">
        <w:t>Calculator</w:t>
      </w:r>
      <w:bookmarkEnd w:id="140"/>
      <w:r w:rsidRPr="00ED7E0F">
        <w:rPr>
          <w:rStyle w:val="Emphasis"/>
          <w:i w:val="0"/>
          <w:iCs w:val="0"/>
          <w:color w:val="17365D" w:themeColor="text2" w:themeShade="BF"/>
          <w:sz w:val="24"/>
        </w:rPr>
        <w:t xml:space="preserve"> </w:t>
      </w:r>
      <w:r w:rsidR="00136574" w:rsidRPr="00ED7E0F">
        <w:rPr>
          <w:rStyle w:val="Emphasis"/>
          <w:i w:val="0"/>
          <w:iCs w:val="0"/>
          <w:color w:val="17365D" w:themeColor="text2" w:themeShade="BF"/>
          <w:sz w:val="24"/>
        </w:rPr>
        <w:t xml:space="preserve"> </w:t>
      </w:r>
    </w:p>
    <w:p w:rsidR="002E6E25" w:rsidRDefault="00D76C9A" w:rsidP="007A2D40">
      <w:pPr>
        <w:pStyle w:val="SmallText"/>
        <w:ind w:left="0"/>
      </w:pPr>
      <w:r w:rsidRPr="00136574">
        <w:t xml:space="preserve">Calculates the number of hours </w:t>
      </w:r>
      <w:r w:rsidR="006D66C3" w:rsidRPr="00136574">
        <w:t>resources may</w:t>
      </w:r>
      <w:r w:rsidRPr="00136574">
        <w:t xml:space="preserve"> be sustained, based on census and inventory data. </w:t>
      </w:r>
    </w:p>
    <w:p w:rsidR="00D969CD" w:rsidRPr="007A2D40" w:rsidRDefault="00722F55" w:rsidP="00B0586B">
      <w:pPr>
        <w:pStyle w:val="Heading3"/>
        <w:numPr>
          <w:ilvl w:val="0"/>
          <w:numId w:val="0"/>
        </w:numPr>
        <w:spacing w:before="120"/>
        <w:jc w:val="left"/>
        <w:rPr>
          <w:rStyle w:val="SmallTextChar"/>
          <w:b w:val="0"/>
          <w:sz w:val="22"/>
        </w:rPr>
      </w:pPr>
      <w:bookmarkStart w:id="141" w:name="_Toc51554537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70pt;margin-top:0;width:61.2pt;height:39.6pt;z-index:251678720;mso-wrap-distance-left:7.2pt;mso-wrap-distance-right:0;mso-position-horizontal:right;mso-position-horizontal-relative:text;mso-position-vertical:absolute;mso-position-vertical-relative:text" wrapcoords="7639 3668 5795 3668 6059 8966 10800 10189 263 11819 0 14672 3424 16709 3424 18747 16859 18747 17385 17525 16332 16709 14488 16709 21337 14672 21073 12634 10800 10189 9220 3668 7639 3668">
            <v:imagedata r:id="rId23" o:title=""/>
            <w10:wrap type="tight"/>
          </v:shape>
          <o:OLEObject Type="Embed" ProgID="Excel.Sheet.8" ShapeID="_x0000_s1031" DrawAspect="Icon" ObjectID="_1639292812" r:id="rId24"/>
        </w:object>
      </w:r>
      <w:r w:rsidR="00D969CD" w:rsidRPr="007A2D40">
        <w:t>A Process for Determining Resource and Asset Sustainability During Emergencies</w:t>
      </w:r>
      <w:r w:rsidR="00B5012E" w:rsidRPr="007A2D40">
        <w:br/>
      </w:r>
      <w:r w:rsidR="002776AD" w:rsidRPr="007A2D40">
        <w:rPr>
          <w:rStyle w:val="SmallTextChar"/>
          <w:b w:val="0"/>
          <w:sz w:val="22"/>
        </w:rPr>
        <w:t>Article outlines</w:t>
      </w:r>
      <w:r w:rsidR="00B5012E" w:rsidRPr="007A2D40">
        <w:rPr>
          <w:rStyle w:val="SmallTextChar"/>
          <w:b w:val="0"/>
          <w:sz w:val="22"/>
        </w:rPr>
        <w:t xml:space="preserve"> sustainability process developed by </w:t>
      </w:r>
      <w:r w:rsidR="00DC6FD9" w:rsidRPr="007A2D40">
        <w:rPr>
          <w:rStyle w:val="SmallTextChar"/>
          <w:b w:val="0"/>
          <w:sz w:val="22"/>
        </w:rPr>
        <w:t>American Society of Healthcare Engineers (ASHE)</w:t>
      </w:r>
      <w:r w:rsidR="00B5012E" w:rsidRPr="007A2D40">
        <w:rPr>
          <w:rStyle w:val="SmallTextChar"/>
          <w:b w:val="0"/>
          <w:sz w:val="22"/>
        </w:rPr>
        <w:t>.</w:t>
      </w:r>
      <w:bookmarkEnd w:id="141"/>
    </w:p>
    <w:p w:rsidR="00376D6F" w:rsidRDefault="00722F55" w:rsidP="007E636B">
      <w:pPr>
        <w:pStyle w:val="Heading3"/>
        <w:numPr>
          <w:ilvl w:val="0"/>
          <w:numId w:val="0"/>
        </w:numPr>
        <w:spacing w:before="120"/>
      </w:pPr>
      <w:bookmarkStart w:id="142" w:name="_Toc515545373"/>
      <w:r>
        <w:pict>
          <v:shape id="_x0000_s1028" type="#_x0000_t75" style="position:absolute;left:0;text-align:left;margin-left:464.4pt;margin-top:3.6pt;width:61.2pt;height:39.6pt;z-index:251676672;mso-wrap-distance-left:7.2pt;mso-wrap-distance-right:0;mso-position-horizontal-relative:text;mso-position-vertical-relative:text">
            <v:imagedata r:id="rId25" o:title=""/>
            <w10:wrap type="square" side="left"/>
          </v:shape>
        </w:pict>
      </w:r>
      <w:r w:rsidR="00E62682" w:rsidRPr="00ED7E0F">
        <w:t>System Failures</w:t>
      </w:r>
      <w:r w:rsidR="00F54AA4" w:rsidRPr="00ED7E0F">
        <w:t xml:space="preserve"> Chart</w:t>
      </w:r>
      <w:r w:rsidR="00E62682" w:rsidRPr="00ED7E0F">
        <w:t>: Gui</w:t>
      </w:r>
      <w:r w:rsidR="00F54AA4" w:rsidRPr="00ED7E0F">
        <w:t xml:space="preserve">dance for Incident </w:t>
      </w:r>
      <w:r w:rsidR="00E62682" w:rsidRPr="00ED7E0F">
        <w:t>Command</w:t>
      </w:r>
      <w:bookmarkEnd w:id="142"/>
      <w:r w:rsidR="00136574">
        <w:t xml:space="preserve">  </w:t>
      </w:r>
    </w:p>
    <w:p w:rsidR="00213917" w:rsidRDefault="00136574" w:rsidP="007A2D40">
      <w:pPr>
        <w:pStyle w:val="SmallText"/>
        <w:ind w:left="0"/>
      </w:pPr>
      <w:r>
        <w:t>C</w:t>
      </w:r>
      <w:r w:rsidR="002F51AA" w:rsidRPr="00136574">
        <w:t xml:space="preserve">ustomizable template for incident command and department heads to use in planning for various hospital system failures. </w:t>
      </w:r>
    </w:p>
    <w:p w:rsidR="00376D6F" w:rsidRPr="00376D6F" w:rsidRDefault="00722F55" w:rsidP="007E636B">
      <w:pPr>
        <w:pStyle w:val="Heading3"/>
        <w:numPr>
          <w:ilvl w:val="0"/>
          <w:numId w:val="0"/>
        </w:numPr>
        <w:spacing w:before="120"/>
      </w:pPr>
      <w:bookmarkStart w:id="143" w:name="_Toc515545374"/>
      <w:r>
        <w:object w:dxaOrig="1440" w:dyaOrig="1440">
          <v:shape id="_x0000_s1027" type="#_x0000_t75" style="position:absolute;left:0;text-align:left;margin-left:577.2pt;margin-top:4.55pt;width:60.5pt;height:39.45pt;z-index:251674624;mso-wrap-distance-left:7.2pt;mso-wrap-distance-top:0;mso-wrap-distance-right:0;mso-wrap-distance-bottom:0;mso-position-horizontal:right;mso-position-horizontal-relative:text;mso-position-vertical-relative:text" wrapcoords="11035 1800 7513 3600 7043 4320 7043 7560 1643 10800 -235 12240 -235 13680 3522 18360 3757 18360 17374 18360 17843 18360 21365 13320 21600 12240 17843 10440 10565 7560 11974 6120 12678 2880 11974 1800 11035 1800" o:allowoverlap="f">
            <v:imagedata r:id="rId26" o:title=""/>
            <w10:wrap type="square" side="left"/>
          </v:shape>
          <o:OLEObject Type="Embed" ProgID="Word.Document.12" ShapeID="_x0000_s1027" DrawAspect="Icon" ObjectID="_1639292813" r:id="rId27">
            <o:FieldCodes>\s</o:FieldCodes>
          </o:OLEObject>
        </w:object>
      </w:r>
      <w:r w:rsidR="002F51AA" w:rsidRPr="00ED7E0F">
        <w:t>Critical Resources &amp; Assets Table: Strategies for Extension</w:t>
      </w:r>
      <w:bookmarkEnd w:id="143"/>
      <w:r w:rsidR="00136574" w:rsidRPr="00213917">
        <w:t xml:space="preserve">  </w:t>
      </w:r>
    </w:p>
    <w:p w:rsidR="008B3DCC" w:rsidRDefault="00136574" w:rsidP="007A2D40">
      <w:pPr>
        <w:pStyle w:val="SmallText"/>
        <w:ind w:left="0"/>
      </w:pPr>
      <w:r w:rsidRPr="00213917">
        <w:t>Customizable</w:t>
      </w:r>
      <w:r w:rsidR="002F51AA" w:rsidRPr="00213917">
        <w:t xml:space="preserve"> </w:t>
      </w:r>
      <w:r w:rsidRPr="00213917">
        <w:t xml:space="preserve">table </w:t>
      </w:r>
      <w:r w:rsidR="002F51AA" w:rsidRPr="00213917">
        <w:t xml:space="preserve">to identify strategies and vulnerabilities for specific critical </w:t>
      </w:r>
      <w:r w:rsidR="00213917" w:rsidRPr="00213917">
        <w:t>resources.</w:t>
      </w:r>
      <w:r w:rsidR="008B3DCC" w:rsidRPr="00213917">
        <w:t xml:space="preserve"> </w:t>
      </w:r>
    </w:p>
    <w:p w:rsidR="00510BCE" w:rsidRPr="00ED7E0F" w:rsidRDefault="00510BCE" w:rsidP="005126B5">
      <w:pPr>
        <w:pStyle w:val="Heading2"/>
        <w:numPr>
          <w:ilvl w:val="0"/>
          <w:numId w:val="2"/>
        </w:numPr>
      </w:pPr>
      <w:bookmarkStart w:id="144" w:name="_Toc515545375"/>
      <w:r w:rsidRPr="00ED7E0F">
        <w:t>Additional Resources</w:t>
      </w:r>
      <w:bookmarkEnd w:id="144"/>
    </w:p>
    <w:p w:rsidR="00376D6F" w:rsidRPr="00ED7E0F" w:rsidRDefault="00510BCE" w:rsidP="005126B5">
      <w:pPr>
        <w:pStyle w:val="Heading3"/>
        <w:numPr>
          <w:ilvl w:val="0"/>
          <w:numId w:val="0"/>
        </w:numPr>
      </w:pPr>
      <w:bookmarkStart w:id="145" w:name="_Toc515545376"/>
      <w:r w:rsidRPr="00ED7E0F">
        <w:lastRenderedPageBreak/>
        <w:t>Supply Chain Disaster Preparedness Manual</w:t>
      </w:r>
      <w:bookmarkStart w:id="146" w:name="_Toc515544667"/>
      <w:bookmarkStart w:id="147" w:name="_Toc515545215"/>
      <w:bookmarkEnd w:id="145"/>
      <w:r w:rsidR="00136574" w:rsidRPr="00ED7E0F">
        <w:t xml:space="preserve">  </w:t>
      </w:r>
    </w:p>
    <w:p w:rsidR="00CB1B05" w:rsidRPr="007E636B" w:rsidRDefault="0014597B" w:rsidP="007A2D40">
      <w:pPr>
        <w:pStyle w:val="SmallText"/>
        <w:ind w:left="0"/>
        <w:jc w:val="left"/>
        <w:rPr>
          <w:color w:val="1F497D" w:themeColor="text2"/>
          <w:sz w:val="20"/>
        </w:rPr>
      </w:pPr>
      <w:r w:rsidRPr="00136574">
        <w:t>CDC manual addresses</w:t>
      </w:r>
      <w:r w:rsidR="00510BCE" w:rsidRPr="00136574">
        <w:t xml:space="preserve"> supp</w:t>
      </w:r>
      <w:r w:rsidR="007A2D40">
        <w:t xml:space="preserve">ly chain preparedness. </w:t>
      </w:r>
      <w:hyperlink r:id="rId28" w:history="1">
        <w:r w:rsidR="007A2D40" w:rsidRPr="007E636B">
          <w:rPr>
            <w:rStyle w:val="Hyperlink"/>
            <w:color w:val="1F497D" w:themeColor="text2"/>
            <w:sz w:val="20"/>
          </w:rPr>
          <w:t>www.ahrmm.org/resources/tools/supply-chain-disaster-preparedness-manual.pdf</w:t>
        </w:r>
      </w:hyperlink>
    </w:p>
    <w:p w:rsidR="00376D6F" w:rsidRPr="00ED7E0F" w:rsidRDefault="00054197" w:rsidP="007E636B">
      <w:pPr>
        <w:pStyle w:val="Heading3"/>
        <w:numPr>
          <w:ilvl w:val="0"/>
          <w:numId w:val="0"/>
        </w:numPr>
        <w:spacing w:before="120"/>
      </w:pPr>
      <w:bookmarkStart w:id="148" w:name="_Toc515545377"/>
      <w:r w:rsidRPr="00ED7E0F">
        <w:t>Medical-Surgical Supply Formulary by Disaster Scenario</w:t>
      </w:r>
      <w:bookmarkEnd w:id="146"/>
      <w:bookmarkEnd w:id="147"/>
      <w:bookmarkEnd w:id="148"/>
      <w:r w:rsidR="00136574" w:rsidRPr="00ED7E0F">
        <w:t xml:space="preserve">  </w:t>
      </w:r>
    </w:p>
    <w:p w:rsidR="00855982" w:rsidRPr="007A2D40" w:rsidRDefault="007A2D40" w:rsidP="007A2D40">
      <w:pPr>
        <w:pStyle w:val="SmallText"/>
        <w:ind w:left="0"/>
        <w:jc w:val="left"/>
      </w:pPr>
      <w:r w:rsidRPr="007A2D40">
        <w:t>Developed</w:t>
      </w:r>
      <w:r w:rsidR="00054197" w:rsidRPr="007A2D40">
        <w:t xml:space="preserve"> by the Association for Healthcare Resource &amp; Material Management, Health I</w:t>
      </w:r>
      <w:r w:rsidRPr="007A2D40">
        <w:t>ndustry Distributors Assoc.</w:t>
      </w:r>
      <w:r w:rsidR="00054197" w:rsidRPr="007A2D40">
        <w:t>, and the Health Indus</w:t>
      </w:r>
      <w:r w:rsidRPr="007A2D40">
        <w:t>try Group Purchasing Assoc</w:t>
      </w:r>
      <w:r w:rsidR="00054197" w:rsidRPr="007A2D40">
        <w:t>.</w:t>
      </w:r>
      <w:r w:rsidR="00BB19FE" w:rsidRPr="007A2D40">
        <w:t xml:space="preserve"> </w:t>
      </w:r>
      <w:r w:rsidR="00054197" w:rsidRPr="007E636B">
        <w:rPr>
          <w:color w:val="1F497D" w:themeColor="text2"/>
          <w:sz w:val="20"/>
          <w:u w:val="single"/>
        </w:rPr>
        <w:t>www.ahrmm.org/resources/tools/disasterformulary.pdf</w:t>
      </w:r>
      <w:bookmarkEnd w:id="0"/>
    </w:p>
    <w:sectPr w:rsidR="00855982" w:rsidRPr="007A2D40" w:rsidSect="000A56A9">
      <w:footerReference w:type="default" r:id="rId29"/>
      <w:type w:val="continuous"/>
      <w:pgSz w:w="12240" w:h="15840"/>
      <w:pgMar w:top="792" w:right="864" w:bottom="936" w:left="864" w:header="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55" w:rsidRDefault="00722F55" w:rsidP="00636AD1">
      <w:r>
        <w:separator/>
      </w:r>
    </w:p>
  </w:endnote>
  <w:endnote w:type="continuationSeparator" w:id="0">
    <w:p w:rsidR="00722F55" w:rsidRDefault="00722F55" w:rsidP="0063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00006FF" w:usb1="4000205B" w:usb2="00000010" w:usb3="00000000" w:csb0="0000019F" w:csb1="00000000"/>
  </w:font>
  <w:font w:name="Leelawadee UI Semilight">
    <w:charset w:val="00"/>
    <w:family w:val="swiss"/>
    <w:pitch w:val="variable"/>
    <w:sig w:usb0="A3000003" w:usb1="00000000" w:usb2="00010000" w:usb3="00000000" w:csb0="000101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A9" w:rsidRPr="00085648" w:rsidRDefault="000A56A9" w:rsidP="00636AD1">
    <w:pPr>
      <w:pStyle w:val="Footer1"/>
      <w:rPr>
        <w:sz w:val="20"/>
      </w:rPr>
    </w:pPr>
    <w:r w:rsidRPr="00085648">
      <w:rPr>
        <w:sz w:val="20"/>
      </w:rPr>
      <w:t>96 Hour Sustainability Assessment</w:t>
    </w:r>
    <w:r w:rsidRPr="00085648">
      <w:rPr>
        <w:sz w:val="20"/>
      </w:rPr>
      <w:tab/>
      <w:t>Iroquois Healthcare Association</w:t>
    </w:r>
    <w:r w:rsidR="00254BC9">
      <w:rPr>
        <w:sz w:val="20"/>
      </w:rPr>
      <w:t xml:space="preserve"> v.5.30</w:t>
    </w:r>
    <w:r>
      <w:rPr>
        <w:sz w:val="20"/>
      </w:rPr>
      <w:t>.</w:t>
    </w:r>
    <w:r w:rsidRPr="00085648">
      <w:rPr>
        <w:sz w:val="20"/>
      </w:rPr>
      <w:t xml:space="preserve">18 </w:t>
    </w:r>
    <w:r w:rsidRPr="00085648">
      <w:rPr>
        <w:sz w:val="20"/>
      </w:rPr>
      <w:tab/>
    </w:r>
    <w:r w:rsidRPr="00085648">
      <w:rPr>
        <w:sz w:val="20"/>
      </w:rPr>
      <w:tab/>
    </w:r>
    <w:r w:rsidRPr="00085648">
      <w:rPr>
        <w:sz w:val="20"/>
      </w:rPr>
      <w:tab/>
      <w:t xml:space="preserve">   </w:t>
    </w:r>
    <w:r>
      <w:rPr>
        <w:sz w:val="20"/>
      </w:rPr>
      <w:tab/>
    </w:r>
    <w:r w:rsidRPr="00085648">
      <w:rPr>
        <w:sz w:val="20"/>
      </w:rPr>
      <w:t xml:space="preserve">Page </w:t>
    </w:r>
    <w:r w:rsidRPr="00085648">
      <w:rPr>
        <w:sz w:val="20"/>
      </w:rPr>
      <w:fldChar w:fldCharType="begin"/>
    </w:r>
    <w:r w:rsidRPr="00085648">
      <w:rPr>
        <w:sz w:val="20"/>
      </w:rPr>
      <w:instrText xml:space="preserve"> PAGE   \* MERGEFORMAT </w:instrText>
    </w:r>
    <w:r w:rsidRPr="00085648">
      <w:rPr>
        <w:sz w:val="20"/>
      </w:rPr>
      <w:fldChar w:fldCharType="separate"/>
    </w:r>
    <w:r w:rsidR="006A356E">
      <w:rPr>
        <w:noProof/>
        <w:sz w:val="20"/>
      </w:rPr>
      <w:t>2</w:t>
    </w:r>
    <w:r w:rsidRPr="0008564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A9" w:rsidRPr="00085648" w:rsidRDefault="000A56A9" w:rsidP="00636AD1">
    <w:pPr>
      <w:pStyle w:val="Footer1"/>
      <w:rPr>
        <w:sz w:val="20"/>
      </w:rPr>
    </w:pPr>
    <w:r w:rsidRPr="00085648">
      <w:rPr>
        <w:sz w:val="20"/>
      </w:rPr>
      <w:t>96 Hour Sustainability Assessment</w:t>
    </w:r>
    <w:r w:rsidRPr="00085648">
      <w:rPr>
        <w:sz w:val="20"/>
      </w:rPr>
      <w:tab/>
      <w:t>Iroquois Healthcare Association</w:t>
    </w:r>
    <w:r>
      <w:rPr>
        <w:sz w:val="20"/>
      </w:rPr>
      <w:t xml:space="preserve"> v.5.29.</w:t>
    </w:r>
    <w:r w:rsidRPr="00085648">
      <w:rPr>
        <w:sz w:val="20"/>
      </w:rPr>
      <w:t xml:space="preserve">18 </w:t>
    </w:r>
    <w:r w:rsidRPr="00085648">
      <w:rPr>
        <w:sz w:val="20"/>
      </w:rPr>
      <w:tab/>
    </w:r>
    <w:r w:rsidRPr="00085648">
      <w:rPr>
        <w:sz w:val="20"/>
      </w:rPr>
      <w:tab/>
    </w:r>
    <w:r w:rsidRPr="00085648">
      <w:rPr>
        <w:sz w:val="20"/>
      </w:rPr>
      <w:tab/>
      <w:t xml:space="preserve">   </w:t>
    </w:r>
    <w:r>
      <w:rPr>
        <w:sz w:val="20"/>
      </w:rPr>
      <w:tab/>
    </w:r>
    <w:r w:rsidRPr="00085648">
      <w:rPr>
        <w:sz w:val="20"/>
      </w:rPr>
      <w:t xml:space="preserve">Page </w:t>
    </w:r>
    <w:r w:rsidRPr="00085648">
      <w:rPr>
        <w:sz w:val="20"/>
      </w:rPr>
      <w:fldChar w:fldCharType="begin"/>
    </w:r>
    <w:r w:rsidRPr="00085648">
      <w:rPr>
        <w:sz w:val="20"/>
      </w:rPr>
      <w:instrText xml:space="preserve"> PAGE   \* MERGEFORMAT </w:instrText>
    </w:r>
    <w:r w:rsidRPr="00085648">
      <w:rPr>
        <w:sz w:val="20"/>
      </w:rPr>
      <w:fldChar w:fldCharType="separate"/>
    </w:r>
    <w:r w:rsidR="006A356E">
      <w:rPr>
        <w:noProof/>
        <w:sz w:val="20"/>
      </w:rPr>
      <w:t>4</w:t>
    </w:r>
    <w:r w:rsidRPr="0008564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55" w:rsidRDefault="00722F55" w:rsidP="00636AD1">
      <w:r>
        <w:separator/>
      </w:r>
    </w:p>
  </w:footnote>
  <w:footnote w:type="continuationSeparator" w:id="0">
    <w:p w:rsidR="00722F55" w:rsidRDefault="00722F55" w:rsidP="00636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F76"/>
    <w:multiLevelType w:val="hybridMultilevel"/>
    <w:tmpl w:val="C2B04EAC"/>
    <w:lvl w:ilvl="0" w:tplc="CA86326C">
      <w:start w:val="1"/>
      <w:numFmt w:val="bullet"/>
      <w:lvlText w:val=""/>
      <w:lvlJc w:val="left"/>
      <w:pPr>
        <w:ind w:left="720" w:hanging="360"/>
      </w:pPr>
      <w:rPr>
        <w:rFonts w:ascii="Wingdings" w:hAnsi="Wingdings" w:hint="default"/>
        <w:b w:val="0"/>
        <w:i w:val="0"/>
        <w:color w:val="000000" w:themeColor="text1"/>
        <w:position w:val="0"/>
        <w:sz w:val="18"/>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2253"/>
    <w:multiLevelType w:val="hybridMultilevel"/>
    <w:tmpl w:val="F7007E2E"/>
    <w:lvl w:ilvl="0" w:tplc="10B40A0E">
      <w:start w:val="1"/>
      <w:numFmt w:val="decimal"/>
      <w:pStyle w:val="Heading2"/>
      <w:lvlText w:val="%1."/>
      <w:lvlJc w:val="left"/>
      <w:pPr>
        <w:ind w:left="360" w:hanging="360"/>
      </w:pPr>
      <w:rPr>
        <w:b/>
        <w:bCs w:val="0"/>
        <w:i w:val="0"/>
        <w:iCs w:val="0"/>
        <w:caps w:val="0"/>
        <w:smallCaps w:val="0"/>
        <w:strike w:val="0"/>
        <w:dstrike w:val="0"/>
        <w:outline w:val="0"/>
        <w:shadow w:val="0"/>
        <w:emboss w:val="0"/>
        <w:imprint w:val="0"/>
        <w:noProof w:val="0"/>
        <w:vanish w:val="0"/>
        <w:color w:val="632423" w:themeColor="accent2" w:themeShade="8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371C9"/>
    <w:multiLevelType w:val="hybridMultilevel"/>
    <w:tmpl w:val="0AF0DB60"/>
    <w:lvl w:ilvl="0" w:tplc="BB2E830E">
      <w:start w:val="1"/>
      <w:numFmt w:val="bullet"/>
      <w:lvlText w:val=""/>
      <w:lvlJc w:val="left"/>
      <w:pPr>
        <w:ind w:left="720" w:hanging="360"/>
      </w:pPr>
      <w:rPr>
        <w:rFonts w:ascii="Wingdings" w:hAnsi="Wingdings" w:hint="default"/>
        <w:b w:val="0"/>
        <w:i w:val="0"/>
        <w:color w:val="595959" w:themeColor="text1" w:themeTint="A6"/>
        <w:position w:val="0"/>
        <w:sz w:val="24"/>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00122"/>
    <w:multiLevelType w:val="hybridMultilevel"/>
    <w:tmpl w:val="B8ECDE78"/>
    <w:lvl w:ilvl="0" w:tplc="285A62A0">
      <w:start w:val="1"/>
      <w:numFmt w:val="bullet"/>
      <w:pStyle w:val="Heading3"/>
      <w:lvlText w:val=""/>
      <w:lvlJc w:val="left"/>
      <w:pPr>
        <w:ind w:left="360" w:hanging="360"/>
      </w:pPr>
      <w:rPr>
        <w:rFonts w:ascii="Wingdings" w:hAnsi="Wingdings" w:hint="default"/>
        <w:b w:val="0"/>
        <w:i w:val="0"/>
        <w:color w:val="595959" w:themeColor="text1" w:themeTint="A6"/>
        <w:position w:val="0"/>
        <w:sz w:val="24"/>
        <w:szCs w:val="26"/>
      </w:rPr>
    </w:lvl>
    <w:lvl w:ilvl="1" w:tplc="2EE8DF9C">
      <w:start w:val="1"/>
      <w:numFmt w:val="bullet"/>
      <w:lvlText w:val="❏"/>
      <w:lvlJc w:val="left"/>
      <w:pPr>
        <w:ind w:left="1080" w:hanging="360"/>
      </w:pPr>
      <w:rPr>
        <w:rFonts w:ascii="Segoe UI Symbol" w:hAnsi="Segoe UI Symbol" w:hint="default"/>
        <w:b w:val="0"/>
        <w:i w:val="0"/>
        <w:color w:val="0F243E" w:themeColor="text2" w:themeShade="80"/>
        <w:sz w:val="20"/>
        <w:szCs w:val="26"/>
      </w:rPr>
    </w:lvl>
    <w:lvl w:ilvl="2" w:tplc="4E766F06">
      <w:start w:val="1"/>
      <w:numFmt w:val="bullet"/>
      <w:lvlText w:val=""/>
      <w:lvlJc w:val="left"/>
      <w:pPr>
        <w:ind w:left="1800" w:hanging="360"/>
      </w:pPr>
      <w:rPr>
        <w:rFonts w:ascii="Wingdings" w:hAnsi="Wingdings" w:hint="default"/>
        <w:sz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6343E"/>
    <w:multiLevelType w:val="hybridMultilevel"/>
    <w:tmpl w:val="7FF41254"/>
    <w:lvl w:ilvl="0" w:tplc="88AA567C">
      <w:start w:val="1"/>
      <w:numFmt w:val="bullet"/>
      <w:pStyle w:val="Heading30"/>
      <w:lvlText w:val=""/>
      <w:lvlJc w:val="left"/>
      <w:pPr>
        <w:ind w:left="1080" w:hanging="360"/>
      </w:pPr>
      <w:rPr>
        <w:rFonts w:ascii="Wingdings" w:hAnsi="Wingdings" w:hint="default"/>
        <w:b w:val="0"/>
        <w:i w:val="0"/>
        <w:color w:val="595959" w:themeColor="text1" w:themeTint="A6"/>
        <w:position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05EA0"/>
    <w:multiLevelType w:val="hybridMultilevel"/>
    <w:tmpl w:val="5E881AF0"/>
    <w:lvl w:ilvl="0" w:tplc="B6C0729C">
      <w:start w:val="1"/>
      <w:numFmt w:val="bullet"/>
      <w:pStyle w:val="Heading2Bullet"/>
      <w:lvlText w:val=""/>
      <w:lvlJc w:val="left"/>
      <w:pPr>
        <w:ind w:left="360" w:hanging="360"/>
      </w:pPr>
      <w:rPr>
        <w:rFonts w:ascii="Wingdings" w:hAnsi="Wingdings" w:hint="default"/>
        <w:b w:val="0"/>
        <w:i w:val="0"/>
        <w:color w:val="1F497D" w:themeColor="text2"/>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022D9"/>
    <w:multiLevelType w:val="hybridMultilevel"/>
    <w:tmpl w:val="EDA80F84"/>
    <w:lvl w:ilvl="0" w:tplc="B8926A16">
      <w:start w:val="2"/>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0016C7"/>
    <w:multiLevelType w:val="hybridMultilevel"/>
    <w:tmpl w:val="08AAB5CA"/>
    <w:lvl w:ilvl="0" w:tplc="CA86326C">
      <w:start w:val="1"/>
      <w:numFmt w:val="bullet"/>
      <w:lvlText w:val=""/>
      <w:lvlJc w:val="left"/>
      <w:pPr>
        <w:ind w:left="720" w:hanging="360"/>
      </w:pPr>
      <w:rPr>
        <w:rFonts w:ascii="Wingdings" w:hAnsi="Wingdings" w:hint="default"/>
        <w:b w:val="0"/>
        <w:i w:val="0"/>
        <w:color w:val="000000" w:themeColor="text1"/>
        <w:spacing w:val="0"/>
        <w:position w:val="0"/>
        <w:sz w:val="18"/>
        <w:szCs w:val="26"/>
      </w:rPr>
    </w:lvl>
    <w:lvl w:ilvl="1" w:tplc="2EE8DF9C">
      <w:start w:val="1"/>
      <w:numFmt w:val="bullet"/>
      <w:lvlText w:val="❏"/>
      <w:lvlJc w:val="left"/>
      <w:pPr>
        <w:ind w:left="1440" w:hanging="360"/>
      </w:pPr>
      <w:rPr>
        <w:rFonts w:ascii="Segoe UI Symbol" w:hAnsi="Segoe UI Symbol" w:hint="default"/>
        <w:b w:val="0"/>
        <w:i w:val="0"/>
        <w:color w:val="0F243E" w:themeColor="text2" w:themeShade="80"/>
        <w:sz w:val="20"/>
        <w:szCs w:val="26"/>
      </w:rPr>
    </w:lvl>
    <w:lvl w:ilvl="2" w:tplc="4E766F06">
      <w:start w:val="1"/>
      <w:numFmt w:val="bullet"/>
      <w:lvlText w:val=""/>
      <w:lvlJc w:val="left"/>
      <w:pPr>
        <w:ind w:left="2160" w:hanging="360"/>
      </w:pPr>
      <w:rPr>
        <w:rFonts w:ascii="Wingdings" w:hAnsi="Wingdings"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F5509"/>
    <w:multiLevelType w:val="hybridMultilevel"/>
    <w:tmpl w:val="E2268456"/>
    <w:lvl w:ilvl="0" w:tplc="E02C853C">
      <w:start w:val="1"/>
      <w:numFmt w:val="bullet"/>
      <w:lvlText w:val="❏"/>
      <w:lvlJc w:val="left"/>
      <w:pPr>
        <w:ind w:left="720" w:hanging="360"/>
      </w:pPr>
      <w:rPr>
        <w:rFonts w:ascii="Segoe UI Symbol" w:hAnsi="Segoe UI Symbol" w:hint="default"/>
        <w:b w:val="0"/>
        <w:i w:val="0"/>
        <w:color w:val="1F497D" w:themeColor="text2"/>
        <w:sz w:val="20"/>
        <w:szCs w:val="26"/>
      </w:rPr>
    </w:lvl>
    <w:lvl w:ilvl="1" w:tplc="91363D74">
      <w:start w:val="1"/>
      <w:numFmt w:val="bullet"/>
      <w:lvlText w:val="❏"/>
      <w:lvlJc w:val="left"/>
      <w:pPr>
        <w:ind w:left="1440" w:hanging="360"/>
      </w:pPr>
      <w:rPr>
        <w:rFonts w:ascii="Segoe UI Symbol" w:hAnsi="Segoe UI Symbol" w:hint="default"/>
        <w:b w:val="0"/>
        <w:i w:val="0"/>
        <w:color w:val="1F497D" w:themeColor="text2"/>
        <w:sz w:val="20"/>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21298"/>
    <w:multiLevelType w:val="hybridMultilevel"/>
    <w:tmpl w:val="03BA317E"/>
    <w:lvl w:ilvl="0" w:tplc="2012C93C">
      <w:start w:val="1"/>
      <w:numFmt w:val="decimal"/>
      <w:lvlText w:val="%1."/>
      <w:lvlJc w:val="left"/>
      <w:pPr>
        <w:ind w:left="792" w:hanging="360"/>
      </w:pPr>
      <w:rPr>
        <w:i w:val="0"/>
      </w:rPr>
    </w:lvl>
    <w:lvl w:ilvl="1" w:tplc="7A9C3842">
      <w:start w:val="1"/>
      <w:numFmt w:val="decimal"/>
      <w:lvlText w:val="%2."/>
      <w:lvlJc w:val="left"/>
      <w:pPr>
        <w:ind w:left="1512" w:hanging="360"/>
      </w:pPr>
      <w:rPr>
        <w:rFonts w:hint="default"/>
        <w:b w:val="0"/>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C3B5654"/>
    <w:multiLevelType w:val="hybridMultilevel"/>
    <w:tmpl w:val="AEAA4E0C"/>
    <w:lvl w:ilvl="0" w:tplc="86D64802">
      <w:start w:val="1"/>
      <w:numFmt w:val="upperLetter"/>
      <w:pStyle w:val="Heading2A"/>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E49C1"/>
    <w:multiLevelType w:val="hybridMultilevel"/>
    <w:tmpl w:val="57AA77E0"/>
    <w:lvl w:ilvl="0" w:tplc="437EB8EC">
      <w:start w:val="1"/>
      <w:numFmt w:val="bullet"/>
      <w:pStyle w:val="SmallTextBullet"/>
      <w:lvlText w:val=""/>
      <w:lvlJc w:val="left"/>
      <w:pPr>
        <w:ind w:left="720" w:hanging="360"/>
      </w:pPr>
      <w:rPr>
        <w:rFonts w:ascii="Wingdings" w:hAnsi="Wingdings" w:hint="default"/>
        <w:b w:val="0"/>
        <w:i w:val="0"/>
        <w:color w:val="7F7F7F" w:themeColor="text1" w:themeTint="80"/>
        <w:spacing w:val="0"/>
        <w:position w:val="0"/>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063DF5"/>
    <w:multiLevelType w:val="hybridMultilevel"/>
    <w:tmpl w:val="219A672C"/>
    <w:lvl w:ilvl="0" w:tplc="5B92896E">
      <w:start w:val="1"/>
      <w:numFmt w:val="bullet"/>
      <w:pStyle w:val="Heading2ABullet"/>
      <w:lvlText w:val=""/>
      <w:lvlJc w:val="left"/>
      <w:pPr>
        <w:ind w:left="360" w:hanging="360"/>
      </w:pPr>
      <w:rPr>
        <w:rFonts w:ascii="Wingdings 2" w:hAnsi="Wingdings 2" w:hint="default"/>
        <w:b w:val="0"/>
        <w:i w:val="0"/>
        <w:color w:val="17365D" w:themeColor="text2" w:themeShade="BF"/>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B4260B"/>
    <w:multiLevelType w:val="hybridMultilevel"/>
    <w:tmpl w:val="50D2E170"/>
    <w:lvl w:ilvl="0" w:tplc="3A624096">
      <w:start w:val="1"/>
      <w:numFmt w:val="bullet"/>
      <w:pStyle w:val="BulletNormalText"/>
      <w:lvlText w:val=""/>
      <w:lvlJc w:val="left"/>
      <w:pPr>
        <w:ind w:left="630" w:hanging="360"/>
      </w:pPr>
      <w:rPr>
        <w:rFonts w:ascii="Wingdings" w:hAnsi="Wingdings" w:hint="default"/>
        <w:color w:val="632423" w:themeColor="accent2" w:themeShade="80"/>
        <w:sz w:val="1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B455D93"/>
    <w:multiLevelType w:val="hybridMultilevel"/>
    <w:tmpl w:val="290867EA"/>
    <w:lvl w:ilvl="0" w:tplc="538A35FE">
      <w:start w:val="1"/>
      <w:numFmt w:val="bullet"/>
      <w:lvlText w:val="▫"/>
      <w:lvlJc w:val="left"/>
      <w:pPr>
        <w:ind w:left="360" w:hanging="360"/>
      </w:pPr>
      <w:rPr>
        <w:rFonts w:ascii="Segoe UI Symbol" w:hAnsi="Segoe UI Symbol" w:hint="default"/>
        <w:b w:val="0"/>
        <w:i w:val="0"/>
        <w:color w:val="1F497D" w:themeColor="text2"/>
        <w:spacing w:val="0"/>
        <w:position w:val="0"/>
        <w:sz w:val="20"/>
        <w:szCs w:val="26"/>
      </w:rPr>
    </w:lvl>
    <w:lvl w:ilvl="1" w:tplc="2EE8DF9C">
      <w:start w:val="1"/>
      <w:numFmt w:val="bullet"/>
      <w:lvlText w:val="❏"/>
      <w:lvlJc w:val="left"/>
      <w:pPr>
        <w:ind w:left="1080" w:hanging="360"/>
      </w:pPr>
      <w:rPr>
        <w:rFonts w:ascii="Segoe UI Symbol" w:hAnsi="Segoe UI Symbol" w:hint="default"/>
        <w:b w:val="0"/>
        <w:i w:val="0"/>
        <w:color w:val="0F243E" w:themeColor="text2" w:themeShade="80"/>
        <w:sz w:val="20"/>
        <w:szCs w:val="26"/>
      </w:rPr>
    </w:lvl>
    <w:lvl w:ilvl="2" w:tplc="4E766F06">
      <w:start w:val="1"/>
      <w:numFmt w:val="bullet"/>
      <w:lvlText w:val=""/>
      <w:lvlJc w:val="left"/>
      <w:pPr>
        <w:ind w:left="1800" w:hanging="360"/>
      </w:pPr>
      <w:rPr>
        <w:rFonts w:ascii="Wingdings" w:hAnsi="Wingdings" w:hint="default"/>
        <w:sz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871C1"/>
    <w:multiLevelType w:val="hybridMultilevel"/>
    <w:tmpl w:val="5106C6FA"/>
    <w:lvl w:ilvl="0" w:tplc="05C4682C">
      <w:start w:val="1"/>
      <w:numFmt w:val="bullet"/>
      <w:pStyle w:val="IntroductionBullet1"/>
      <w:lvlText w:val=""/>
      <w:lvlJc w:val="left"/>
      <w:pPr>
        <w:ind w:left="720" w:hanging="360"/>
      </w:pPr>
      <w:rPr>
        <w:rFonts w:ascii="Wingdings" w:hAnsi="Wingdings" w:hint="default"/>
        <w:b w:val="0"/>
        <w:i w:val="0"/>
        <w:color w:val="404040" w:themeColor="text1" w:themeTint="BF"/>
        <w:position w:val="0"/>
        <w:sz w:val="24"/>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22347"/>
    <w:multiLevelType w:val="hybridMultilevel"/>
    <w:tmpl w:val="38906164"/>
    <w:lvl w:ilvl="0" w:tplc="9230E15C">
      <w:start w:val="1"/>
      <w:numFmt w:val="bullet"/>
      <w:lvlText w:val=""/>
      <w:lvlJc w:val="left"/>
      <w:pPr>
        <w:ind w:left="720" w:hanging="360"/>
      </w:pPr>
      <w:rPr>
        <w:rFonts w:ascii="Wingdings" w:hAnsi="Wingdings" w:hint="default"/>
        <w:b w:val="0"/>
        <w:i w:val="0"/>
        <w:color w:val="404040" w:themeColor="text1" w:themeTint="BF"/>
        <w:position w:val="0"/>
        <w:sz w:val="24"/>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E33AB"/>
    <w:multiLevelType w:val="hybridMultilevel"/>
    <w:tmpl w:val="A0CAD856"/>
    <w:lvl w:ilvl="0" w:tplc="F77AC290">
      <w:start w:val="1"/>
      <w:numFmt w:val="bullet"/>
      <w:lvlText w:val=""/>
      <w:lvlJc w:val="left"/>
      <w:pPr>
        <w:ind w:left="720" w:hanging="360"/>
      </w:pPr>
      <w:rPr>
        <w:rFonts w:ascii="Wingdings" w:hAnsi="Wingdings" w:hint="default"/>
        <w:b w:val="0"/>
        <w:i w:val="0"/>
        <w:color w:val="632423" w:themeColor="accent2" w:themeShade="80"/>
        <w:position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E70C2"/>
    <w:multiLevelType w:val="hybridMultilevel"/>
    <w:tmpl w:val="863654A6"/>
    <w:lvl w:ilvl="0" w:tplc="3E4E8C36">
      <w:start w:val="1"/>
      <w:numFmt w:val="bullet"/>
      <w:pStyle w:val="ListParagraph"/>
      <w:lvlText w:val="❏"/>
      <w:lvlJc w:val="left"/>
      <w:pPr>
        <w:ind w:left="360" w:hanging="360"/>
      </w:pPr>
      <w:rPr>
        <w:rFonts w:ascii="Segoe UI Symbol" w:hAnsi="Segoe UI Symbol" w:hint="default"/>
        <w:b w:val="0"/>
        <w:i w:val="0"/>
        <w:color w:val="17365D" w:themeColor="text2" w:themeShade="BF"/>
        <w:position w:val="0"/>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992610"/>
    <w:multiLevelType w:val="hybridMultilevel"/>
    <w:tmpl w:val="B17C5B42"/>
    <w:lvl w:ilvl="0" w:tplc="7BA4AC20">
      <w:start w:val="1"/>
      <w:numFmt w:val="upperLetter"/>
      <w:pStyle w:val="Heading31"/>
      <w:lvlText w:val="%1."/>
      <w:lvlJc w:val="left"/>
      <w:pPr>
        <w:ind w:left="360" w:hanging="360"/>
      </w:pPr>
      <w:rPr>
        <w:rFonts w:hint="default"/>
        <w:b w:val="0"/>
        <w:i w:val="0"/>
        <w:color w:val="0F243E" w:themeColor="text2" w:themeShade="80"/>
        <w:sz w:val="24"/>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F6286E"/>
    <w:multiLevelType w:val="hybridMultilevel"/>
    <w:tmpl w:val="0B1A328E"/>
    <w:lvl w:ilvl="0" w:tplc="E0386296">
      <w:start w:val="1"/>
      <w:numFmt w:val="bullet"/>
      <w:pStyle w:val="Heading3A"/>
      <w:lvlText w:val="❏"/>
      <w:lvlJc w:val="left"/>
      <w:pPr>
        <w:ind w:left="720" w:hanging="360"/>
      </w:pPr>
      <w:rPr>
        <w:rFonts w:ascii="Segoe UI Symbol" w:hAnsi="Segoe UI Symbol" w:hint="default"/>
        <w:b w:val="0"/>
        <w:i w:val="0"/>
        <w:color w:val="595959" w:themeColor="text1" w:themeTint="A6"/>
        <w:spacing w:val="0"/>
        <w:position w:val="0"/>
        <w:sz w:val="22"/>
        <w:szCs w:val="26"/>
      </w:rPr>
    </w:lvl>
    <w:lvl w:ilvl="1" w:tplc="2EE8DF9C">
      <w:start w:val="1"/>
      <w:numFmt w:val="bullet"/>
      <w:lvlText w:val="❏"/>
      <w:lvlJc w:val="left"/>
      <w:pPr>
        <w:ind w:left="1440" w:hanging="360"/>
      </w:pPr>
      <w:rPr>
        <w:rFonts w:ascii="Segoe UI Symbol" w:hAnsi="Segoe UI Symbol" w:hint="default"/>
        <w:b w:val="0"/>
        <w:i w:val="0"/>
        <w:color w:val="0F243E" w:themeColor="text2" w:themeShade="80"/>
        <w:sz w:val="20"/>
        <w:szCs w:val="26"/>
      </w:rPr>
    </w:lvl>
    <w:lvl w:ilvl="2" w:tplc="4E766F06">
      <w:start w:val="1"/>
      <w:numFmt w:val="bullet"/>
      <w:lvlText w:val=""/>
      <w:lvlJc w:val="left"/>
      <w:pPr>
        <w:ind w:left="2160" w:hanging="360"/>
      </w:pPr>
      <w:rPr>
        <w:rFonts w:ascii="Wingdings" w:hAnsi="Wingdings"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073D5"/>
    <w:multiLevelType w:val="hybridMultilevel"/>
    <w:tmpl w:val="B5306F38"/>
    <w:lvl w:ilvl="0" w:tplc="0409000B">
      <w:start w:val="1"/>
      <w:numFmt w:val="bullet"/>
      <w:lvlText w:val=""/>
      <w:lvlJc w:val="left"/>
      <w:pPr>
        <w:ind w:left="1068" w:hanging="360"/>
      </w:pPr>
      <w:rPr>
        <w:rFonts w:ascii="Wingdings" w:hAnsi="Wingdings" w:hint="default"/>
        <w:b w:val="0"/>
        <w:i w:val="0"/>
        <w:color w:val="632423" w:themeColor="accent2" w:themeShade="80"/>
        <w:sz w:val="20"/>
        <w:szCs w:val="26"/>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6D0C2B18"/>
    <w:multiLevelType w:val="hybridMultilevel"/>
    <w:tmpl w:val="7C7AC260"/>
    <w:lvl w:ilvl="0" w:tplc="5658C248">
      <w:start w:val="1"/>
      <w:numFmt w:val="decimal"/>
      <w:lvlText w:val="%1."/>
      <w:lvlJc w:val="left"/>
      <w:pPr>
        <w:ind w:left="720" w:hanging="360"/>
      </w:pPr>
      <w:rPr>
        <w:rFonts w:ascii="Calibri Light" w:hAnsi="Calibri Light" w:cs="Segoe UI Semibold" w:hint="default"/>
        <w:b/>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C36A7"/>
    <w:multiLevelType w:val="hybridMultilevel"/>
    <w:tmpl w:val="DDE411B6"/>
    <w:lvl w:ilvl="0" w:tplc="E02C853C">
      <w:start w:val="1"/>
      <w:numFmt w:val="bullet"/>
      <w:lvlText w:val="❏"/>
      <w:lvlJc w:val="left"/>
      <w:pPr>
        <w:ind w:left="720" w:hanging="360"/>
      </w:pPr>
      <w:rPr>
        <w:rFonts w:ascii="Segoe UI Symbol" w:hAnsi="Segoe UI Symbol" w:hint="default"/>
        <w:b w:val="0"/>
        <w:i w:val="0"/>
        <w:color w:val="1F497D" w:themeColor="text2"/>
        <w:sz w:val="20"/>
        <w:szCs w:val="26"/>
      </w:rPr>
    </w:lvl>
    <w:lvl w:ilvl="1" w:tplc="CA86326C">
      <w:start w:val="1"/>
      <w:numFmt w:val="bullet"/>
      <w:lvlText w:val=""/>
      <w:lvlJc w:val="left"/>
      <w:pPr>
        <w:ind w:left="1440" w:hanging="360"/>
      </w:pPr>
      <w:rPr>
        <w:rFonts w:ascii="Wingdings" w:hAnsi="Wingdings" w:hint="default"/>
        <w:b w:val="0"/>
        <w:i w:val="0"/>
        <w:color w:val="000000" w:themeColor="text1"/>
        <w:position w:val="0"/>
        <w:sz w:val="18"/>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E1994"/>
    <w:multiLevelType w:val="hybridMultilevel"/>
    <w:tmpl w:val="8AFE9C46"/>
    <w:lvl w:ilvl="0" w:tplc="C4EE5B22">
      <w:start w:val="1"/>
      <w:numFmt w:val="decimal"/>
      <w:pStyle w:val="Link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23BCC"/>
    <w:multiLevelType w:val="hybridMultilevel"/>
    <w:tmpl w:val="D0EED350"/>
    <w:lvl w:ilvl="0" w:tplc="2D4292BE">
      <w:start w:val="1"/>
      <w:numFmt w:val="decimal"/>
      <w:lvlText w:val="%1."/>
      <w:lvlJc w:val="left"/>
      <w:pPr>
        <w:ind w:left="720" w:hanging="360"/>
      </w:pPr>
      <w:rPr>
        <w:rFonts w:hint="default"/>
        <w:b/>
        <w:i w:val="0"/>
        <w:color w:val="0D0D0D" w:themeColor="text1" w:themeTint="F2"/>
        <w:spacing w:val="0"/>
        <w:position w:val="0"/>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6"/>
  </w:num>
  <w:num w:numId="3">
    <w:abstractNumId w:val="9"/>
  </w:num>
  <w:num w:numId="4">
    <w:abstractNumId w:val="12"/>
  </w:num>
  <w:num w:numId="5">
    <w:abstractNumId w:val="5"/>
  </w:num>
  <w:num w:numId="6">
    <w:abstractNumId w:val="3"/>
  </w:num>
  <w:num w:numId="7">
    <w:abstractNumId w:val="18"/>
  </w:num>
  <w:num w:numId="8">
    <w:abstractNumId w:val="1"/>
  </w:num>
  <w:num w:numId="9">
    <w:abstractNumId w:val="1"/>
    <w:lvlOverride w:ilvl="0">
      <w:startOverride w:val="1"/>
    </w:lvlOverride>
  </w:num>
  <w:num w:numId="10">
    <w:abstractNumId w:val="11"/>
  </w:num>
  <w:num w:numId="11">
    <w:abstractNumId w:val="19"/>
  </w:num>
  <w:num w:numId="12">
    <w:abstractNumId w:val="13"/>
  </w:num>
  <w:num w:numId="13">
    <w:abstractNumId w:val="10"/>
  </w:num>
  <w:num w:numId="14">
    <w:abstractNumId w:val="22"/>
  </w:num>
  <w:num w:numId="15">
    <w:abstractNumId w:val="1"/>
    <w:lvlOverride w:ilvl="0">
      <w:startOverride w:val="1"/>
    </w:lvlOverride>
  </w:num>
  <w:num w:numId="16">
    <w:abstractNumId w:val="17"/>
  </w:num>
  <w:num w:numId="17">
    <w:abstractNumId w:val="4"/>
  </w:num>
  <w:num w:numId="18">
    <w:abstractNumId w:val="1"/>
    <w:lvlOverride w:ilvl="0">
      <w:startOverride w:val="1"/>
    </w:lvlOverride>
  </w:num>
  <w:num w:numId="19">
    <w:abstractNumId w:val="1"/>
    <w:lvlOverride w:ilvl="0">
      <w:startOverride w:val="1"/>
    </w:lvlOverride>
  </w:num>
  <w:num w:numId="20">
    <w:abstractNumId w:val="21"/>
  </w:num>
  <w:num w:numId="21">
    <w:abstractNumId w:val="15"/>
  </w:num>
  <w:num w:numId="22">
    <w:abstractNumId w:val="8"/>
  </w:num>
  <w:num w:numId="23">
    <w:abstractNumId w:val="3"/>
    <w:lvlOverride w:ilvl="0">
      <w:startOverride w:val="1"/>
    </w:lvlOverride>
  </w:num>
  <w:num w:numId="24">
    <w:abstractNumId w:val="23"/>
  </w:num>
  <w:num w:numId="25">
    <w:abstractNumId w:val="9"/>
    <w:lvlOverride w:ilvl="0">
      <w:startOverride w:val="1"/>
    </w:lvlOverride>
  </w:num>
  <w:num w:numId="26">
    <w:abstractNumId w:val="14"/>
  </w:num>
  <w:num w:numId="27">
    <w:abstractNumId w:val="7"/>
  </w:num>
  <w:num w:numId="28">
    <w:abstractNumId w:val="20"/>
  </w:num>
  <w:num w:numId="29">
    <w:abstractNumId w:val="0"/>
  </w:num>
  <w:num w:numId="30">
    <w:abstractNumId w:val="25"/>
  </w:num>
  <w:num w:numId="31">
    <w:abstractNumId w:val="2"/>
  </w:num>
  <w:num w:numId="3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5D"/>
    <w:rsid w:val="00003981"/>
    <w:rsid w:val="00030704"/>
    <w:rsid w:val="000447F1"/>
    <w:rsid w:val="000507A2"/>
    <w:rsid w:val="00052673"/>
    <w:rsid w:val="00054197"/>
    <w:rsid w:val="00062C4E"/>
    <w:rsid w:val="00064C18"/>
    <w:rsid w:val="00065AC6"/>
    <w:rsid w:val="000728FD"/>
    <w:rsid w:val="0007523E"/>
    <w:rsid w:val="00082D76"/>
    <w:rsid w:val="00085648"/>
    <w:rsid w:val="000913AD"/>
    <w:rsid w:val="00095B8A"/>
    <w:rsid w:val="000A56A9"/>
    <w:rsid w:val="000B4ADD"/>
    <w:rsid w:val="000C4DF6"/>
    <w:rsid w:val="000C5866"/>
    <w:rsid w:val="000C7CBF"/>
    <w:rsid w:val="000E1333"/>
    <w:rsid w:val="00100B7F"/>
    <w:rsid w:val="00107115"/>
    <w:rsid w:val="0011367F"/>
    <w:rsid w:val="001314AA"/>
    <w:rsid w:val="001329A8"/>
    <w:rsid w:val="00133FA7"/>
    <w:rsid w:val="0013526C"/>
    <w:rsid w:val="00136574"/>
    <w:rsid w:val="0013672A"/>
    <w:rsid w:val="00142D32"/>
    <w:rsid w:val="0014597B"/>
    <w:rsid w:val="001539AF"/>
    <w:rsid w:val="00180615"/>
    <w:rsid w:val="0018490C"/>
    <w:rsid w:val="001A66E1"/>
    <w:rsid w:val="001B3EE4"/>
    <w:rsid w:val="001B616E"/>
    <w:rsid w:val="001C440A"/>
    <w:rsid w:val="001D4362"/>
    <w:rsid w:val="001E7632"/>
    <w:rsid w:val="001F50AA"/>
    <w:rsid w:val="00210BB8"/>
    <w:rsid w:val="002119EB"/>
    <w:rsid w:val="00213917"/>
    <w:rsid w:val="002166BF"/>
    <w:rsid w:val="0022663A"/>
    <w:rsid w:val="00240D3D"/>
    <w:rsid w:val="00254BC9"/>
    <w:rsid w:val="00257455"/>
    <w:rsid w:val="00275887"/>
    <w:rsid w:val="002776AD"/>
    <w:rsid w:val="0028016A"/>
    <w:rsid w:val="002851F3"/>
    <w:rsid w:val="00286AAA"/>
    <w:rsid w:val="00287FDA"/>
    <w:rsid w:val="00293C25"/>
    <w:rsid w:val="002A23AE"/>
    <w:rsid w:val="002B1B33"/>
    <w:rsid w:val="002B1BDF"/>
    <w:rsid w:val="002B1CB4"/>
    <w:rsid w:val="002B3478"/>
    <w:rsid w:val="002D6A66"/>
    <w:rsid w:val="002D7691"/>
    <w:rsid w:val="002E13A9"/>
    <w:rsid w:val="002E530B"/>
    <w:rsid w:val="002E6E25"/>
    <w:rsid w:val="002F51AA"/>
    <w:rsid w:val="003041CF"/>
    <w:rsid w:val="00307E53"/>
    <w:rsid w:val="003164B8"/>
    <w:rsid w:val="00317D20"/>
    <w:rsid w:val="00322FB4"/>
    <w:rsid w:val="00332C82"/>
    <w:rsid w:val="003357E0"/>
    <w:rsid w:val="00340EF6"/>
    <w:rsid w:val="0034439B"/>
    <w:rsid w:val="003444FE"/>
    <w:rsid w:val="0035609F"/>
    <w:rsid w:val="003568E2"/>
    <w:rsid w:val="003659AC"/>
    <w:rsid w:val="00365BA6"/>
    <w:rsid w:val="0036650B"/>
    <w:rsid w:val="00366E71"/>
    <w:rsid w:val="00372C1B"/>
    <w:rsid w:val="00376D6F"/>
    <w:rsid w:val="003800C6"/>
    <w:rsid w:val="003929FC"/>
    <w:rsid w:val="003B201B"/>
    <w:rsid w:val="003B79C8"/>
    <w:rsid w:val="003D4B8F"/>
    <w:rsid w:val="003E1AAC"/>
    <w:rsid w:val="003E75EF"/>
    <w:rsid w:val="003F5CD1"/>
    <w:rsid w:val="00406630"/>
    <w:rsid w:val="004068A7"/>
    <w:rsid w:val="00421E9B"/>
    <w:rsid w:val="00422105"/>
    <w:rsid w:val="004305A7"/>
    <w:rsid w:val="004354F7"/>
    <w:rsid w:val="00444C22"/>
    <w:rsid w:val="00453C9E"/>
    <w:rsid w:val="0045531A"/>
    <w:rsid w:val="0046023C"/>
    <w:rsid w:val="0046158C"/>
    <w:rsid w:val="00462D20"/>
    <w:rsid w:val="00465846"/>
    <w:rsid w:val="00465E2D"/>
    <w:rsid w:val="004675D7"/>
    <w:rsid w:val="0047034A"/>
    <w:rsid w:val="00471115"/>
    <w:rsid w:val="00476BE6"/>
    <w:rsid w:val="004857D1"/>
    <w:rsid w:val="00485831"/>
    <w:rsid w:val="00492BF5"/>
    <w:rsid w:val="004946DB"/>
    <w:rsid w:val="004A1199"/>
    <w:rsid w:val="004A7AAD"/>
    <w:rsid w:val="004B591A"/>
    <w:rsid w:val="004B5EE1"/>
    <w:rsid w:val="004C51B1"/>
    <w:rsid w:val="004D510A"/>
    <w:rsid w:val="004E1FEC"/>
    <w:rsid w:val="004E2384"/>
    <w:rsid w:val="00504C94"/>
    <w:rsid w:val="00510BCE"/>
    <w:rsid w:val="005126B5"/>
    <w:rsid w:val="00520CAE"/>
    <w:rsid w:val="00521EF4"/>
    <w:rsid w:val="00526DA8"/>
    <w:rsid w:val="00533459"/>
    <w:rsid w:val="0054210B"/>
    <w:rsid w:val="005547B5"/>
    <w:rsid w:val="005767BB"/>
    <w:rsid w:val="005773C2"/>
    <w:rsid w:val="0058704A"/>
    <w:rsid w:val="00593F2F"/>
    <w:rsid w:val="005958ED"/>
    <w:rsid w:val="0059681E"/>
    <w:rsid w:val="005A160D"/>
    <w:rsid w:val="005D1564"/>
    <w:rsid w:val="005E3490"/>
    <w:rsid w:val="005E4624"/>
    <w:rsid w:val="005F38D4"/>
    <w:rsid w:val="00607EA7"/>
    <w:rsid w:val="006177A8"/>
    <w:rsid w:val="00625894"/>
    <w:rsid w:val="00636AD1"/>
    <w:rsid w:val="00643A02"/>
    <w:rsid w:val="00646657"/>
    <w:rsid w:val="0065054C"/>
    <w:rsid w:val="00652D7F"/>
    <w:rsid w:val="0065388F"/>
    <w:rsid w:val="0066065C"/>
    <w:rsid w:val="00663F24"/>
    <w:rsid w:val="00673961"/>
    <w:rsid w:val="0067772A"/>
    <w:rsid w:val="00677FD2"/>
    <w:rsid w:val="00683462"/>
    <w:rsid w:val="006A05EF"/>
    <w:rsid w:val="006A356E"/>
    <w:rsid w:val="006B60E0"/>
    <w:rsid w:val="006C100C"/>
    <w:rsid w:val="006D66C3"/>
    <w:rsid w:val="006E5F7F"/>
    <w:rsid w:val="006F42CD"/>
    <w:rsid w:val="007030AB"/>
    <w:rsid w:val="0071082B"/>
    <w:rsid w:val="00712FF7"/>
    <w:rsid w:val="00713B87"/>
    <w:rsid w:val="007206EE"/>
    <w:rsid w:val="007226A8"/>
    <w:rsid w:val="00722F55"/>
    <w:rsid w:val="007332B6"/>
    <w:rsid w:val="00741C38"/>
    <w:rsid w:val="00751688"/>
    <w:rsid w:val="00761656"/>
    <w:rsid w:val="00764169"/>
    <w:rsid w:val="00766A2F"/>
    <w:rsid w:val="00776E18"/>
    <w:rsid w:val="007833A7"/>
    <w:rsid w:val="0079158F"/>
    <w:rsid w:val="0079387E"/>
    <w:rsid w:val="007A17CF"/>
    <w:rsid w:val="007A1A0F"/>
    <w:rsid w:val="007A2D40"/>
    <w:rsid w:val="007A4F05"/>
    <w:rsid w:val="007B2EFD"/>
    <w:rsid w:val="007C6956"/>
    <w:rsid w:val="007D0F50"/>
    <w:rsid w:val="007D26A6"/>
    <w:rsid w:val="007D4141"/>
    <w:rsid w:val="007E0C6B"/>
    <w:rsid w:val="007E636B"/>
    <w:rsid w:val="007E740A"/>
    <w:rsid w:val="007F2C27"/>
    <w:rsid w:val="007F494B"/>
    <w:rsid w:val="00804169"/>
    <w:rsid w:val="0081702F"/>
    <w:rsid w:val="00824E46"/>
    <w:rsid w:val="008272D7"/>
    <w:rsid w:val="008300F6"/>
    <w:rsid w:val="00830781"/>
    <w:rsid w:val="00831E00"/>
    <w:rsid w:val="00855982"/>
    <w:rsid w:val="00866EF8"/>
    <w:rsid w:val="00877932"/>
    <w:rsid w:val="00883335"/>
    <w:rsid w:val="00885EF2"/>
    <w:rsid w:val="00891A92"/>
    <w:rsid w:val="00893498"/>
    <w:rsid w:val="008A294F"/>
    <w:rsid w:val="008A2D1A"/>
    <w:rsid w:val="008A6434"/>
    <w:rsid w:val="008B04DF"/>
    <w:rsid w:val="008B3DCC"/>
    <w:rsid w:val="008B401C"/>
    <w:rsid w:val="008B6656"/>
    <w:rsid w:val="008F4A16"/>
    <w:rsid w:val="008F6FC4"/>
    <w:rsid w:val="00900993"/>
    <w:rsid w:val="00902E97"/>
    <w:rsid w:val="00922493"/>
    <w:rsid w:val="009375C7"/>
    <w:rsid w:val="00940C57"/>
    <w:rsid w:val="00954A18"/>
    <w:rsid w:val="00965AEC"/>
    <w:rsid w:val="009664EE"/>
    <w:rsid w:val="00967BB1"/>
    <w:rsid w:val="00976117"/>
    <w:rsid w:val="00987E30"/>
    <w:rsid w:val="00995994"/>
    <w:rsid w:val="009A283A"/>
    <w:rsid w:val="009A4A87"/>
    <w:rsid w:val="009B327B"/>
    <w:rsid w:val="009B3E03"/>
    <w:rsid w:val="009C5B02"/>
    <w:rsid w:val="009D1F7C"/>
    <w:rsid w:val="009E15F4"/>
    <w:rsid w:val="009E59D2"/>
    <w:rsid w:val="009E5FB0"/>
    <w:rsid w:val="009E71B6"/>
    <w:rsid w:val="009F7DA6"/>
    <w:rsid w:val="00A10484"/>
    <w:rsid w:val="00A10772"/>
    <w:rsid w:val="00A1523A"/>
    <w:rsid w:val="00A21CCA"/>
    <w:rsid w:val="00A222E3"/>
    <w:rsid w:val="00A222F3"/>
    <w:rsid w:val="00A24BB5"/>
    <w:rsid w:val="00A251F0"/>
    <w:rsid w:val="00A26842"/>
    <w:rsid w:val="00A400AA"/>
    <w:rsid w:val="00A54F80"/>
    <w:rsid w:val="00A73C8A"/>
    <w:rsid w:val="00AA458E"/>
    <w:rsid w:val="00AA586E"/>
    <w:rsid w:val="00AB33E9"/>
    <w:rsid w:val="00AB5F65"/>
    <w:rsid w:val="00AC229B"/>
    <w:rsid w:val="00AC5AC0"/>
    <w:rsid w:val="00AD2654"/>
    <w:rsid w:val="00AD704C"/>
    <w:rsid w:val="00AE780A"/>
    <w:rsid w:val="00AF2ED0"/>
    <w:rsid w:val="00B0586B"/>
    <w:rsid w:val="00B306C4"/>
    <w:rsid w:val="00B3568D"/>
    <w:rsid w:val="00B40414"/>
    <w:rsid w:val="00B40E75"/>
    <w:rsid w:val="00B5012E"/>
    <w:rsid w:val="00B63307"/>
    <w:rsid w:val="00B64EAF"/>
    <w:rsid w:val="00B673AA"/>
    <w:rsid w:val="00B750A0"/>
    <w:rsid w:val="00B7649E"/>
    <w:rsid w:val="00B87B19"/>
    <w:rsid w:val="00B92118"/>
    <w:rsid w:val="00B95659"/>
    <w:rsid w:val="00BA5B0A"/>
    <w:rsid w:val="00BB19FE"/>
    <w:rsid w:val="00BF5957"/>
    <w:rsid w:val="00C0353F"/>
    <w:rsid w:val="00C1273B"/>
    <w:rsid w:val="00C13C8E"/>
    <w:rsid w:val="00C15B48"/>
    <w:rsid w:val="00C248BC"/>
    <w:rsid w:val="00C33A4B"/>
    <w:rsid w:val="00C41C22"/>
    <w:rsid w:val="00C453D8"/>
    <w:rsid w:val="00C46856"/>
    <w:rsid w:val="00C70CE7"/>
    <w:rsid w:val="00C752D8"/>
    <w:rsid w:val="00C8005C"/>
    <w:rsid w:val="00C8094B"/>
    <w:rsid w:val="00C87836"/>
    <w:rsid w:val="00C95AFE"/>
    <w:rsid w:val="00CA3862"/>
    <w:rsid w:val="00CB1B05"/>
    <w:rsid w:val="00CB622F"/>
    <w:rsid w:val="00CC4A9E"/>
    <w:rsid w:val="00CD7AB7"/>
    <w:rsid w:val="00CE7037"/>
    <w:rsid w:val="00CE7AB3"/>
    <w:rsid w:val="00D03F5D"/>
    <w:rsid w:val="00D215B3"/>
    <w:rsid w:val="00D22036"/>
    <w:rsid w:val="00D23ACE"/>
    <w:rsid w:val="00D246ED"/>
    <w:rsid w:val="00D2581D"/>
    <w:rsid w:val="00D43950"/>
    <w:rsid w:val="00D52B55"/>
    <w:rsid w:val="00D626DA"/>
    <w:rsid w:val="00D66708"/>
    <w:rsid w:val="00D720D4"/>
    <w:rsid w:val="00D74161"/>
    <w:rsid w:val="00D76C9A"/>
    <w:rsid w:val="00D76DFE"/>
    <w:rsid w:val="00D969CD"/>
    <w:rsid w:val="00DA1A65"/>
    <w:rsid w:val="00DA3C6A"/>
    <w:rsid w:val="00DB6E98"/>
    <w:rsid w:val="00DC03BB"/>
    <w:rsid w:val="00DC336D"/>
    <w:rsid w:val="00DC57AF"/>
    <w:rsid w:val="00DC6FD9"/>
    <w:rsid w:val="00DE3D48"/>
    <w:rsid w:val="00DF240B"/>
    <w:rsid w:val="00E159D4"/>
    <w:rsid w:val="00E16DBF"/>
    <w:rsid w:val="00E37C9B"/>
    <w:rsid w:val="00E41C72"/>
    <w:rsid w:val="00E42E6B"/>
    <w:rsid w:val="00E44E2A"/>
    <w:rsid w:val="00E4743A"/>
    <w:rsid w:val="00E5187A"/>
    <w:rsid w:val="00E57743"/>
    <w:rsid w:val="00E61F3D"/>
    <w:rsid w:val="00E62682"/>
    <w:rsid w:val="00E739EA"/>
    <w:rsid w:val="00E75610"/>
    <w:rsid w:val="00E7789A"/>
    <w:rsid w:val="00E84F5B"/>
    <w:rsid w:val="00E94353"/>
    <w:rsid w:val="00E970D6"/>
    <w:rsid w:val="00EA264C"/>
    <w:rsid w:val="00EA56CE"/>
    <w:rsid w:val="00ED1FA6"/>
    <w:rsid w:val="00ED28DD"/>
    <w:rsid w:val="00ED7E0F"/>
    <w:rsid w:val="00EF2C9D"/>
    <w:rsid w:val="00EF3901"/>
    <w:rsid w:val="00EF44A2"/>
    <w:rsid w:val="00EF4CAD"/>
    <w:rsid w:val="00EF576C"/>
    <w:rsid w:val="00F00F1D"/>
    <w:rsid w:val="00F02A82"/>
    <w:rsid w:val="00F02BD7"/>
    <w:rsid w:val="00F10823"/>
    <w:rsid w:val="00F13A17"/>
    <w:rsid w:val="00F339E5"/>
    <w:rsid w:val="00F54504"/>
    <w:rsid w:val="00F54AA4"/>
    <w:rsid w:val="00F6436D"/>
    <w:rsid w:val="00F70F0D"/>
    <w:rsid w:val="00F71337"/>
    <w:rsid w:val="00F80BCB"/>
    <w:rsid w:val="00F81D37"/>
    <w:rsid w:val="00F85547"/>
    <w:rsid w:val="00F954D1"/>
    <w:rsid w:val="00F9684C"/>
    <w:rsid w:val="00FB2E93"/>
    <w:rsid w:val="00FC02EF"/>
    <w:rsid w:val="00FC603D"/>
    <w:rsid w:val="00FD262C"/>
    <w:rsid w:val="00FD69D7"/>
    <w:rsid w:val="00FD753B"/>
    <w:rsid w:val="00FE2820"/>
    <w:rsid w:val="00FE3A8D"/>
    <w:rsid w:val="00FF157A"/>
    <w:rsid w:val="00FF21C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8DD13D-D2C3-4A01-93F6-188E5BB8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D1"/>
    <w:pPr>
      <w:spacing w:before="80" w:after="80" w:line="216" w:lineRule="auto"/>
    </w:pPr>
    <w:rPr>
      <w:color w:val="000000" w:themeColor="text1"/>
      <w:szCs w:val="26"/>
    </w:rPr>
  </w:style>
  <w:style w:type="paragraph" w:styleId="Heading1">
    <w:name w:val="heading 1"/>
    <w:next w:val="Heading2A"/>
    <w:link w:val="Heading1Char"/>
    <w:uiPriority w:val="9"/>
    <w:qFormat/>
    <w:rsid w:val="00C33A4B"/>
    <w:pPr>
      <w:keepLines/>
      <w:pBdr>
        <w:top w:val="single" w:sz="8" w:space="0" w:color="632423" w:themeColor="accent2" w:themeShade="80"/>
        <w:bottom w:val="single" w:sz="8" w:space="2" w:color="632423" w:themeColor="accent2" w:themeShade="80"/>
      </w:pBdr>
      <w:shd w:val="clear" w:color="auto" w:fill="632423" w:themeFill="accent2" w:themeFillShade="80"/>
      <w:spacing w:before="240" w:after="0" w:line="240" w:lineRule="auto"/>
      <w:ind w:firstLine="360"/>
      <w:jc w:val="left"/>
      <w:outlineLvl w:val="0"/>
    </w:pPr>
    <w:rPr>
      <w:rFonts w:asciiTheme="majorHAnsi" w:eastAsiaTheme="majorEastAsia" w:hAnsiTheme="majorHAnsi" w:cstheme="majorBidi"/>
      <w:bCs/>
      <w:color w:val="F2F2F2" w:themeColor="background1" w:themeShade="F2"/>
      <w:spacing w:val="6"/>
      <w:sz w:val="28"/>
      <w:szCs w:val="26"/>
    </w:rPr>
  </w:style>
  <w:style w:type="paragraph" w:styleId="Heading2">
    <w:name w:val="heading 2"/>
    <w:next w:val="Normal"/>
    <w:link w:val="Heading2Char"/>
    <w:uiPriority w:val="9"/>
    <w:unhideWhenUsed/>
    <w:qFormat/>
    <w:rsid w:val="005126B5"/>
    <w:pPr>
      <w:numPr>
        <w:numId w:val="8"/>
      </w:numPr>
      <w:pBdr>
        <w:bottom w:val="single" w:sz="2" w:space="2" w:color="632423" w:themeColor="accent2" w:themeShade="80"/>
      </w:pBdr>
      <w:spacing w:before="120" w:after="100" w:line="240" w:lineRule="auto"/>
      <w:jc w:val="left"/>
      <w:outlineLvl w:val="1"/>
    </w:pPr>
    <w:rPr>
      <w:rFonts w:asciiTheme="majorHAnsi" w:eastAsiaTheme="majorEastAsia" w:hAnsiTheme="majorHAnsi" w:cstheme="majorBidi"/>
      <w:b/>
      <w:bCs/>
      <w:color w:val="632423" w:themeColor="accent2" w:themeShade="80"/>
      <w:spacing w:val="10"/>
      <w:sz w:val="28"/>
      <w:szCs w:val="26"/>
    </w:rPr>
  </w:style>
  <w:style w:type="paragraph" w:styleId="Heading3">
    <w:name w:val="heading 3"/>
    <w:next w:val="Normal"/>
    <w:link w:val="Heading3Char"/>
    <w:uiPriority w:val="9"/>
    <w:unhideWhenUsed/>
    <w:qFormat/>
    <w:rsid w:val="006C100C"/>
    <w:pPr>
      <w:keepNext/>
      <w:keepLines/>
      <w:numPr>
        <w:numId w:val="6"/>
      </w:numPr>
      <w:spacing w:before="100" w:after="0" w:line="216" w:lineRule="auto"/>
      <w:outlineLvl w:val="2"/>
    </w:pPr>
    <w:rPr>
      <w:rFonts w:eastAsiaTheme="majorEastAsia" w:cs="Arial"/>
      <w:b/>
      <w:color w:val="000000" w:themeColor="text1"/>
      <w:sz w:val="26"/>
      <w:szCs w:val="26"/>
    </w:rPr>
  </w:style>
  <w:style w:type="paragraph" w:styleId="Heading4">
    <w:name w:val="heading 4"/>
    <w:basedOn w:val="Heading3"/>
    <w:next w:val="Normal"/>
    <w:link w:val="Heading4Char"/>
    <w:uiPriority w:val="9"/>
    <w:unhideWhenUsed/>
    <w:qFormat/>
    <w:rsid w:val="00082D76"/>
    <w:pPr>
      <w:ind w:left="576"/>
      <w:outlineLvl w:val="3"/>
    </w:pPr>
  </w:style>
  <w:style w:type="paragraph" w:styleId="Heading5">
    <w:name w:val="heading 5"/>
    <w:basedOn w:val="Normal"/>
    <w:next w:val="Normal"/>
    <w:link w:val="Heading5Char"/>
    <w:uiPriority w:val="9"/>
    <w:semiHidden/>
    <w:unhideWhenUsed/>
    <w:rsid w:val="00D03F5D"/>
    <w:pPr>
      <w:keepNext/>
      <w:keepLines/>
      <w:spacing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03F5D"/>
    <w:pPr>
      <w:keepNext/>
      <w:keepLines/>
      <w:spacing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03F5D"/>
    <w:pPr>
      <w:keepNext/>
      <w:keepLines/>
      <w:spacing w:after="0"/>
      <w:outlineLvl w:val="6"/>
    </w:pPr>
    <w:rPr>
      <w:i/>
      <w:iCs/>
    </w:rPr>
  </w:style>
  <w:style w:type="paragraph" w:styleId="Heading8">
    <w:name w:val="heading 8"/>
    <w:basedOn w:val="Normal"/>
    <w:next w:val="Normal"/>
    <w:link w:val="Heading8Char"/>
    <w:uiPriority w:val="9"/>
    <w:semiHidden/>
    <w:unhideWhenUsed/>
    <w:qFormat/>
    <w:rsid w:val="00D03F5D"/>
    <w:pPr>
      <w:keepNext/>
      <w:keepLines/>
      <w:spacing w:after="0"/>
      <w:outlineLvl w:val="7"/>
    </w:pPr>
    <w:rPr>
      <w:b/>
      <w:bCs/>
    </w:rPr>
  </w:style>
  <w:style w:type="paragraph" w:styleId="Heading9">
    <w:name w:val="heading 9"/>
    <w:basedOn w:val="Normal"/>
    <w:next w:val="Normal"/>
    <w:link w:val="Heading9Char"/>
    <w:uiPriority w:val="9"/>
    <w:semiHidden/>
    <w:unhideWhenUsed/>
    <w:qFormat/>
    <w:rsid w:val="00D03F5D"/>
    <w:pPr>
      <w:keepNext/>
      <w:keepLines/>
      <w:spacing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BA5B0A"/>
    <w:pPr>
      <w:spacing w:after="240"/>
      <w:jc w:val="center"/>
    </w:pPr>
    <w:rPr>
      <w:rFonts w:asciiTheme="majorHAnsi" w:eastAsiaTheme="majorEastAsia" w:hAnsiTheme="majorHAnsi" w:cstheme="majorBidi"/>
      <w:b/>
      <w:bCs/>
      <w:spacing w:val="-7"/>
      <w:sz w:val="44"/>
      <w:szCs w:val="48"/>
    </w:rPr>
  </w:style>
  <w:style w:type="character" w:customStyle="1" w:styleId="TitleChar">
    <w:name w:val="Title Char"/>
    <w:basedOn w:val="DefaultParagraphFont"/>
    <w:link w:val="Title"/>
    <w:uiPriority w:val="10"/>
    <w:rsid w:val="00BA5B0A"/>
    <w:rPr>
      <w:rFonts w:asciiTheme="majorHAnsi" w:eastAsiaTheme="majorEastAsia" w:hAnsiTheme="majorHAnsi" w:cstheme="majorBidi"/>
      <w:b/>
      <w:bCs/>
      <w:color w:val="0F243E" w:themeColor="text2" w:themeShade="80"/>
      <w:spacing w:val="-7"/>
      <w:sz w:val="44"/>
      <w:szCs w:val="48"/>
    </w:rPr>
  </w:style>
  <w:style w:type="paragraph" w:styleId="Header">
    <w:name w:val="header"/>
    <w:basedOn w:val="Normal"/>
    <w:link w:val="HeaderChar"/>
    <w:uiPriority w:val="99"/>
    <w:unhideWhenUsed/>
    <w:rsid w:val="00855982"/>
    <w:pPr>
      <w:spacing w:after="0"/>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C33A4B"/>
    <w:rPr>
      <w:rFonts w:asciiTheme="majorHAnsi" w:eastAsiaTheme="majorEastAsia" w:hAnsiTheme="majorHAnsi" w:cstheme="majorBidi"/>
      <w:bCs/>
      <w:color w:val="F2F2F2" w:themeColor="background1" w:themeShade="F2"/>
      <w:spacing w:val="6"/>
      <w:sz w:val="28"/>
      <w:szCs w:val="26"/>
      <w:shd w:val="clear" w:color="auto" w:fill="632423" w:themeFill="accent2" w:themeFillShade="80"/>
    </w:rPr>
  </w:style>
  <w:style w:type="character" w:customStyle="1" w:styleId="Heading2Char">
    <w:name w:val="Heading 2 Char"/>
    <w:basedOn w:val="DefaultParagraphFont"/>
    <w:link w:val="Heading2"/>
    <w:uiPriority w:val="9"/>
    <w:rsid w:val="005126B5"/>
    <w:rPr>
      <w:rFonts w:asciiTheme="majorHAnsi" w:eastAsiaTheme="majorEastAsia" w:hAnsiTheme="majorHAnsi" w:cstheme="majorBidi"/>
      <w:b/>
      <w:bCs/>
      <w:color w:val="632423" w:themeColor="accent2" w:themeShade="80"/>
      <w:spacing w:val="10"/>
      <w:sz w:val="28"/>
      <w:szCs w:val="26"/>
    </w:rPr>
  </w:style>
  <w:style w:type="character" w:customStyle="1" w:styleId="Heading3Char">
    <w:name w:val="Heading 3 Char"/>
    <w:basedOn w:val="DefaultParagraphFont"/>
    <w:link w:val="Heading3"/>
    <w:uiPriority w:val="9"/>
    <w:rsid w:val="006C100C"/>
    <w:rPr>
      <w:rFonts w:eastAsiaTheme="majorEastAsia" w:cs="Arial"/>
      <w:b/>
      <w:color w:val="000000" w:themeColor="text1"/>
      <w:sz w:val="26"/>
      <w:szCs w:val="26"/>
    </w:rPr>
  </w:style>
  <w:style w:type="character" w:customStyle="1" w:styleId="Heading4Char">
    <w:name w:val="Heading 4 Char"/>
    <w:basedOn w:val="DefaultParagraphFont"/>
    <w:link w:val="Heading4"/>
    <w:uiPriority w:val="9"/>
    <w:rsid w:val="00082D76"/>
    <w:rPr>
      <w:rFonts w:ascii="Segoe UI Semibold" w:eastAsiaTheme="majorEastAsia" w:hAnsi="Segoe UI Semibold" w:cs="Arial"/>
      <w:color w:val="17365D" w:themeColor="text2" w:themeShade="BF"/>
      <w:spacing w:val="4"/>
      <w:sz w:val="24"/>
      <w:szCs w:val="26"/>
    </w:rPr>
  </w:style>
  <w:style w:type="character" w:customStyle="1" w:styleId="Heading5Char">
    <w:name w:val="Heading 5 Char"/>
    <w:basedOn w:val="DefaultParagraphFont"/>
    <w:link w:val="Heading5"/>
    <w:uiPriority w:val="9"/>
    <w:semiHidden/>
    <w:rsid w:val="00D03F5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03F5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03F5D"/>
    <w:rPr>
      <w:i/>
      <w:iCs/>
    </w:rPr>
  </w:style>
  <w:style w:type="character" w:customStyle="1" w:styleId="Heading8Char">
    <w:name w:val="Heading 8 Char"/>
    <w:basedOn w:val="DefaultParagraphFont"/>
    <w:link w:val="Heading8"/>
    <w:uiPriority w:val="9"/>
    <w:semiHidden/>
    <w:rsid w:val="00D03F5D"/>
    <w:rPr>
      <w:b/>
      <w:bCs/>
    </w:rPr>
  </w:style>
  <w:style w:type="character" w:customStyle="1" w:styleId="Heading9Char">
    <w:name w:val="Heading 9 Char"/>
    <w:basedOn w:val="DefaultParagraphFont"/>
    <w:link w:val="Heading9"/>
    <w:uiPriority w:val="9"/>
    <w:semiHidden/>
    <w:rsid w:val="00D03F5D"/>
    <w:rPr>
      <w:i/>
      <w:iCs/>
    </w:rPr>
  </w:style>
  <w:style w:type="paragraph" w:styleId="Footer">
    <w:name w:val="footer"/>
    <w:basedOn w:val="Normal"/>
    <w:link w:val="FooterChar"/>
    <w:uiPriority w:val="99"/>
    <w:unhideWhenUsed/>
    <w:rsid w:val="00855982"/>
    <w:pPr>
      <w:spacing w:after="0"/>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D03F5D"/>
    <w:rPr>
      <w:b/>
      <w:bCs/>
      <w:sz w:val="18"/>
      <w:szCs w:val="18"/>
    </w:rPr>
  </w:style>
  <w:style w:type="paragraph" w:styleId="TOCHeading">
    <w:name w:val="TOC Heading"/>
    <w:basedOn w:val="Heading1"/>
    <w:next w:val="Normal"/>
    <w:uiPriority w:val="39"/>
    <w:unhideWhenUsed/>
    <w:rsid w:val="00D03F5D"/>
    <w:pPr>
      <w:outlineLvl w:val="9"/>
    </w:pPr>
    <w:rPr>
      <w:color w:val="4F81BD" w:themeColor="accent1"/>
      <w14:textFill>
        <w14:solidFill>
          <w14:schemeClr w14:val="accent1">
            <w14:lumMod w14:val="20000"/>
            <w14:lumOff w14:val="80000"/>
            <w14:lumMod w14:val="95000"/>
          </w14:schemeClr>
        </w14:solidFill>
      </w14:textFill>
    </w:rPr>
  </w:style>
  <w:style w:type="paragraph" w:styleId="BalloonText">
    <w:name w:val="Balloon Text"/>
    <w:basedOn w:val="Normal"/>
    <w:link w:val="BalloonTextChar"/>
    <w:uiPriority w:val="99"/>
    <w:semiHidden/>
    <w:unhideWhenUsed/>
    <w:rsid w:val="001D4362"/>
    <w:pPr>
      <w:spacing w:after="0"/>
    </w:pPr>
    <w:rPr>
      <w:rFonts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pPr>
    <w:rPr>
      <w:rFonts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i/>
      <w:iCs/>
      <w:color w:val="244061" w:themeColor="accent1" w:themeShade="80"/>
    </w:rPr>
  </w:style>
  <w:style w:type="character" w:styleId="FollowedHyperlink">
    <w:name w:val="FollowedHyperlink"/>
    <w:basedOn w:val="DefaultParagraphFont"/>
    <w:uiPriority w:val="99"/>
    <w:semiHidden/>
    <w:unhideWhenUsed/>
    <w:rsid w:val="007833A7"/>
    <w:rPr>
      <w:color w:val="244061" w:themeColor="accent1" w:themeShade="80"/>
      <w:u w:val="single"/>
    </w:rPr>
  </w:style>
  <w:style w:type="character" w:styleId="Hyperlink">
    <w:name w:val="Hyperlink"/>
    <w:basedOn w:val="DefaultParagraphFont"/>
    <w:uiPriority w:val="99"/>
    <w:unhideWhenUsed/>
    <w:rsid w:val="007833A7"/>
    <w:rPr>
      <w:color w:val="5F497A"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rsid w:val="00D03F5D"/>
    <w:rPr>
      <w:b/>
      <w:bCs/>
      <w:i/>
      <w:iCs/>
      <w:color w:val="auto"/>
    </w:rPr>
  </w:style>
  <w:style w:type="paragraph" w:styleId="IntenseQuote">
    <w:name w:val="Intense Quote"/>
    <w:basedOn w:val="Normal"/>
    <w:next w:val="Normal"/>
    <w:link w:val="IntenseQuoteChar"/>
    <w:uiPriority w:val="30"/>
    <w:rsid w:val="00D03F5D"/>
    <w:pPr>
      <w:spacing w:before="100" w:beforeAutospacing="1"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D03F5D"/>
    <w:rPr>
      <w:rFonts w:asciiTheme="majorHAnsi" w:eastAsiaTheme="majorEastAsia" w:hAnsiTheme="majorHAnsi" w:cstheme="majorBidi"/>
      <w:sz w:val="26"/>
      <w:szCs w:val="26"/>
    </w:rPr>
  </w:style>
  <w:style w:type="character" w:styleId="IntenseReference">
    <w:name w:val="Intense Reference"/>
    <w:basedOn w:val="DefaultParagraphFont"/>
    <w:uiPriority w:val="32"/>
    <w:rsid w:val="00D03F5D"/>
    <w:rPr>
      <w:b/>
      <w:bCs/>
      <w:smallCaps/>
      <w:color w:val="auto"/>
      <w:u w:val="single"/>
    </w:rPr>
  </w:style>
  <w:style w:type="paragraph" w:styleId="ListParagraph">
    <w:name w:val="List Paragraph"/>
    <w:basedOn w:val="Normal"/>
    <w:link w:val="ListParagraphChar"/>
    <w:uiPriority w:val="34"/>
    <w:qFormat/>
    <w:rsid w:val="007E0C6B"/>
    <w:pPr>
      <w:numPr>
        <w:numId w:val="7"/>
      </w:numPr>
      <w:spacing w:after="0"/>
      <w:jc w:val="left"/>
    </w:pPr>
  </w:style>
  <w:style w:type="character" w:customStyle="1" w:styleId="ListParagraphChar">
    <w:name w:val="List Paragraph Char"/>
    <w:basedOn w:val="DefaultParagraphFont"/>
    <w:link w:val="ListParagraph"/>
    <w:uiPriority w:val="34"/>
    <w:rsid w:val="00082D76"/>
    <w:rPr>
      <w:rFonts w:ascii="Segoe UI" w:hAnsi="Segoe UI"/>
      <w:color w:val="0F243E" w:themeColor="text2" w:themeShade="80"/>
      <w:sz w:val="24"/>
      <w:szCs w:val="26"/>
    </w:rPr>
  </w:style>
  <w:style w:type="character" w:styleId="Emphasis">
    <w:name w:val="Emphasis"/>
    <w:basedOn w:val="DefaultParagraphFont"/>
    <w:uiPriority w:val="20"/>
    <w:rsid w:val="00D22036"/>
    <w:rPr>
      <w:i/>
      <w:iCs/>
      <w:color w:val="595959" w:themeColor="text1" w:themeTint="A6"/>
      <w:sz w:val="20"/>
    </w:rPr>
  </w:style>
  <w:style w:type="paragraph" w:customStyle="1" w:styleId="NormalIndent25">
    <w:name w:val="&gt;Normal Indent .25"/>
    <w:basedOn w:val="Normal"/>
    <w:link w:val="NormalIndent25Char"/>
    <w:rsid w:val="00D03F5D"/>
    <w:pPr>
      <w:ind w:left="374"/>
    </w:pPr>
  </w:style>
  <w:style w:type="character" w:styleId="SubtleEmphasis">
    <w:name w:val="Subtle Emphasis"/>
    <w:uiPriority w:val="19"/>
    <w:qFormat/>
    <w:rsid w:val="00CA3862"/>
    <w:rPr>
      <w:rFonts w:ascii="Calibri Light" w:hAnsi="Calibri Light" w:cs="Segoe UI Light"/>
      <w:i/>
      <w:iCs/>
      <w:color w:val="262626" w:themeColor="text1" w:themeTint="D9"/>
      <w:sz w:val="20"/>
      <w:szCs w:val="21"/>
    </w:rPr>
  </w:style>
  <w:style w:type="character" w:customStyle="1" w:styleId="NormalIndent25Char">
    <w:name w:val="&gt;Normal Indent .25 Char"/>
    <w:basedOn w:val="DefaultParagraphFont"/>
    <w:link w:val="NormalIndent25"/>
    <w:rsid w:val="00D03F5D"/>
    <w:rPr>
      <w:rFonts w:ascii="Verdana" w:eastAsia="Calibri" w:hAnsi="Verdana" w:cstheme="minorHAnsi"/>
      <w:bCs/>
      <w:color w:val="0D1F35"/>
      <w:szCs w:val="20"/>
      <w:lang w:eastAsia="en-US"/>
    </w:rPr>
  </w:style>
  <w:style w:type="paragraph" w:customStyle="1" w:styleId="Note">
    <w:name w:val="Note"/>
    <w:basedOn w:val="NormalIndent25"/>
    <w:link w:val="NoteChar"/>
    <w:rsid w:val="00D03F5D"/>
    <w:pPr>
      <w:spacing w:before="60"/>
    </w:pPr>
    <w:rPr>
      <w:color w:val="244061" w:themeColor="accent1" w:themeShade="80"/>
    </w:rPr>
  </w:style>
  <w:style w:type="character" w:customStyle="1" w:styleId="NoteChar">
    <w:name w:val="Note Char"/>
    <w:basedOn w:val="NormalIndent25Char"/>
    <w:link w:val="Note"/>
    <w:rsid w:val="00D03F5D"/>
    <w:rPr>
      <w:rFonts w:ascii="Verdana" w:eastAsia="Calibri" w:hAnsi="Verdana" w:cstheme="minorHAnsi"/>
      <w:bCs/>
      <w:color w:val="365F91" w:themeColor="accent1" w:themeShade="BF"/>
      <w:szCs w:val="20"/>
      <w:lang w:eastAsia="en-US"/>
    </w:rPr>
  </w:style>
  <w:style w:type="paragraph" w:styleId="Subtitle">
    <w:name w:val="Subtitle"/>
    <w:basedOn w:val="Normal"/>
    <w:next w:val="Normal"/>
    <w:link w:val="SubtitleChar"/>
    <w:uiPriority w:val="11"/>
    <w:rsid w:val="00BA5B0A"/>
    <w:pPr>
      <w:numPr>
        <w:ilvl w:val="1"/>
      </w:numPr>
      <w:spacing w:after="240"/>
      <w:jc w:val="center"/>
    </w:pPr>
    <w:rPr>
      <w:rFonts w:asciiTheme="majorHAnsi" w:eastAsiaTheme="majorEastAsia" w:hAnsiTheme="majorHAnsi" w:cstheme="majorBidi"/>
      <w:sz w:val="44"/>
      <w:szCs w:val="24"/>
    </w:rPr>
  </w:style>
  <w:style w:type="character" w:customStyle="1" w:styleId="SubtitleChar">
    <w:name w:val="Subtitle Char"/>
    <w:basedOn w:val="DefaultParagraphFont"/>
    <w:link w:val="Subtitle"/>
    <w:uiPriority w:val="11"/>
    <w:rsid w:val="00BA5B0A"/>
    <w:rPr>
      <w:rFonts w:asciiTheme="majorHAnsi" w:eastAsiaTheme="majorEastAsia" w:hAnsiTheme="majorHAnsi" w:cstheme="majorBidi"/>
      <w:color w:val="0F243E" w:themeColor="text2" w:themeShade="80"/>
      <w:sz w:val="44"/>
      <w:szCs w:val="24"/>
    </w:rPr>
  </w:style>
  <w:style w:type="character" w:styleId="Strong">
    <w:name w:val="Strong"/>
    <w:basedOn w:val="DefaultParagraphFont"/>
    <w:uiPriority w:val="22"/>
    <w:qFormat/>
    <w:rsid w:val="00764169"/>
    <w:rPr>
      <w:b/>
      <w:bCs/>
      <w:color w:val="1F497D" w:themeColor="text2"/>
    </w:rPr>
  </w:style>
  <w:style w:type="paragraph" w:styleId="NoSpacing">
    <w:name w:val="No Spacing"/>
    <w:link w:val="NoSpacingChar"/>
    <w:uiPriority w:val="1"/>
    <w:qFormat/>
    <w:rsid w:val="00D03F5D"/>
    <w:pPr>
      <w:spacing w:after="0" w:line="240" w:lineRule="auto"/>
    </w:pPr>
  </w:style>
  <w:style w:type="paragraph" w:styleId="Quote">
    <w:name w:val="Quote"/>
    <w:basedOn w:val="Normal"/>
    <w:next w:val="Normal"/>
    <w:link w:val="QuoteChar"/>
    <w:uiPriority w:val="29"/>
    <w:rsid w:val="00D03F5D"/>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03F5D"/>
    <w:rPr>
      <w:rFonts w:asciiTheme="majorHAnsi" w:eastAsiaTheme="majorEastAsia" w:hAnsiTheme="majorHAnsi" w:cstheme="majorBidi"/>
      <w:i/>
      <w:iCs/>
      <w:sz w:val="24"/>
      <w:szCs w:val="24"/>
    </w:rPr>
  </w:style>
  <w:style w:type="character" w:styleId="SubtleReference">
    <w:name w:val="Subtle Reference"/>
    <w:basedOn w:val="DefaultParagraphFont"/>
    <w:uiPriority w:val="31"/>
    <w:rsid w:val="00D03F5D"/>
    <w:rPr>
      <w:smallCaps/>
      <w:color w:val="auto"/>
      <w:u w:val="single" w:color="7F7F7F" w:themeColor="text1" w:themeTint="80"/>
    </w:rPr>
  </w:style>
  <w:style w:type="character" w:styleId="BookTitle">
    <w:name w:val="Book Title"/>
    <w:basedOn w:val="DefaultParagraphFont"/>
    <w:uiPriority w:val="33"/>
    <w:rsid w:val="00D03F5D"/>
    <w:rPr>
      <w:b/>
      <w:bCs/>
      <w:smallCaps/>
      <w:color w:val="auto"/>
    </w:rPr>
  </w:style>
  <w:style w:type="table" w:styleId="TableGrid">
    <w:name w:val="Table Grid"/>
    <w:basedOn w:val="TableNormal"/>
    <w:uiPriority w:val="39"/>
    <w:rsid w:val="006A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444FE"/>
    <w:pPr>
      <w:tabs>
        <w:tab w:val="right" w:leader="dot" w:pos="10070"/>
      </w:tabs>
      <w:spacing w:before="120" w:after="0" w:line="276" w:lineRule="auto"/>
      <w:ind w:left="144" w:right="144"/>
      <w:jc w:val="left"/>
    </w:pPr>
    <w:rPr>
      <w:b/>
      <w:noProof/>
    </w:rPr>
  </w:style>
  <w:style w:type="paragraph" w:styleId="TOC2">
    <w:name w:val="toc 2"/>
    <w:basedOn w:val="Normal"/>
    <w:next w:val="Normal"/>
    <w:autoRedefine/>
    <w:uiPriority w:val="39"/>
    <w:unhideWhenUsed/>
    <w:rsid w:val="003444FE"/>
    <w:pPr>
      <w:tabs>
        <w:tab w:val="left" w:pos="660"/>
        <w:tab w:val="left" w:pos="1008"/>
        <w:tab w:val="right" w:leader="dot" w:pos="10070"/>
      </w:tabs>
      <w:spacing w:before="0" w:after="0" w:line="264" w:lineRule="auto"/>
      <w:ind w:left="720" w:right="144" w:hanging="288"/>
      <w:jc w:val="left"/>
    </w:pPr>
    <w:rPr>
      <w:bCs/>
    </w:rPr>
  </w:style>
  <w:style w:type="paragraph" w:styleId="TOC3">
    <w:name w:val="toc 3"/>
    <w:basedOn w:val="Normal"/>
    <w:next w:val="Normal"/>
    <w:autoRedefine/>
    <w:uiPriority w:val="39"/>
    <w:unhideWhenUsed/>
    <w:rsid w:val="007E636B"/>
    <w:pPr>
      <w:tabs>
        <w:tab w:val="left" w:pos="1100"/>
        <w:tab w:val="left" w:pos="1540"/>
        <w:tab w:val="right" w:leader="dot" w:pos="10070"/>
      </w:tabs>
      <w:spacing w:before="0" w:after="0" w:line="120" w:lineRule="exact"/>
      <w:ind w:left="576"/>
      <w:outlineLvl w:val="2"/>
    </w:pPr>
  </w:style>
  <w:style w:type="paragraph" w:customStyle="1" w:styleId="Heading2A">
    <w:name w:val="Heading 2A"/>
    <w:basedOn w:val="Heading3"/>
    <w:next w:val="Normal"/>
    <w:link w:val="Heading2AChar"/>
    <w:qFormat/>
    <w:rsid w:val="005A160D"/>
    <w:pPr>
      <w:numPr>
        <w:numId w:val="13"/>
      </w:numPr>
      <w:ind w:left="360"/>
    </w:pPr>
  </w:style>
  <w:style w:type="paragraph" w:customStyle="1" w:styleId="Footer1">
    <w:name w:val="Footer1"/>
    <w:basedOn w:val="Footer"/>
    <w:link w:val="Footer1Char"/>
    <w:rsid w:val="007F494B"/>
    <w:rPr>
      <w:rFonts w:asciiTheme="majorHAnsi" w:hAnsiTheme="majorHAnsi"/>
      <w:i/>
    </w:rPr>
  </w:style>
  <w:style w:type="character" w:customStyle="1" w:styleId="Heading2AChar">
    <w:name w:val="Heading 2A Char"/>
    <w:basedOn w:val="Heading2Char"/>
    <w:link w:val="Heading2A"/>
    <w:rsid w:val="005A160D"/>
    <w:rPr>
      <w:rFonts w:ascii="Segoe UI Semibold" w:eastAsiaTheme="majorEastAsia" w:hAnsi="Segoe UI Semibold" w:cs="Arial"/>
      <w:b w:val="0"/>
      <w:bCs w:val="0"/>
      <w:color w:val="17365D" w:themeColor="text2" w:themeShade="BF"/>
      <w:spacing w:val="4"/>
      <w:sz w:val="24"/>
      <w:szCs w:val="26"/>
    </w:rPr>
  </w:style>
  <w:style w:type="character" w:customStyle="1" w:styleId="Footer1Char">
    <w:name w:val="Footer1 Char"/>
    <w:basedOn w:val="FooterChar"/>
    <w:link w:val="Footer1"/>
    <w:rsid w:val="007F494B"/>
    <w:rPr>
      <w:rFonts w:asciiTheme="majorHAnsi" w:hAnsiTheme="majorHAnsi"/>
      <w:i/>
      <w:color w:val="000000" w:themeColor="text1"/>
      <w:sz w:val="24"/>
    </w:rPr>
  </w:style>
  <w:style w:type="character" w:styleId="FootnoteReference">
    <w:name w:val="footnote reference"/>
    <w:basedOn w:val="DefaultParagraphFont"/>
    <w:uiPriority w:val="99"/>
    <w:semiHidden/>
    <w:unhideWhenUsed/>
    <w:rsid w:val="00E5187A"/>
    <w:rPr>
      <w:vertAlign w:val="superscript"/>
    </w:rPr>
  </w:style>
  <w:style w:type="paragraph" w:customStyle="1" w:styleId="Heading2ABullet">
    <w:name w:val="Heading 2A Bullet"/>
    <w:basedOn w:val="NormalIndent25"/>
    <w:link w:val="Heading2ABulletChar"/>
    <w:qFormat/>
    <w:rsid w:val="00830781"/>
    <w:pPr>
      <w:numPr>
        <w:numId w:val="4"/>
      </w:numPr>
    </w:pPr>
  </w:style>
  <w:style w:type="paragraph" w:customStyle="1" w:styleId="Link1">
    <w:name w:val="Link1"/>
    <w:basedOn w:val="NormalIndent25"/>
    <w:link w:val="Link1Char"/>
    <w:rsid w:val="00B95659"/>
    <w:pPr>
      <w:numPr>
        <w:numId w:val="1"/>
      </w:numPr>
      <w:spacing w:after="40"/>
    </w:pPr>
    <w:rPr>
      <w:color w:val="244061" w:themeColor="accent1" w:themeShade="80"/>
      <w:u w:val="single"/>
    </w:rPr>
  </w:style>
  <w:style w:type="character" w:customStyle="1" w:styleId="Heading2ABulletChar">
    <w:name w:val="Heading 2A Bullet Char"/>
    <w:basedOn w:val="NormalIndent25Char"/>
    <w:link w:val="Heading2ABullet"/>
    <w:rsid w:val="00830781"/>
    <w:rPr>
      <w:rFonts w:ascii="Segoe UI" w:eastAsia="Calibri" w:hAnsi="Segoe UI" w:cstheme="minorHAnsi"/>
      <w:bCs w:val="0"/>
      <w:color w:val="0F243E" w:themeColor="text2" w:themeShade="80"/>
      <w:sz w:val="24"/>
      <w:szCs w:val="26"/>
      <w:lang w:eastAsia="en-US"/>
    </w:rPr>
  </w:style>
  <w:style w:type="character" w:customStyle="1" w:styleId="Link1Char">
    <w:name w:val="Link1 Char"/>
    <w:basedOn w:val="NormalIndent25Char"/>
    <w:link w:val="Link1"/>
    <w:rsid w:val="00B95659"/>
    <w:rPr>
      <w:rFonts w:ascii="Segoe UI" w:eastAsia="Calibri" w:hAnsi="Segoe UI" w:cstheme="minorHAnsi"/>
      <w:bCs w:val="0"/>
      <w:color w:val="244061" w:themeColor="accent1" w:themeShade="80"/>
      <w:sz w:val="24"/>
      <w:szCs w:val="26"/>
      <w:u w:val="single"/>
      <w:lang w:eastAsia="en-US"/>
    </w:rPr>
  </w:style>
  <w:style w:type="paragraph" w:customStyle="1" w:styleId="Heading2Bullet">
    <w:name w:val="Heading2 Bullet"/>
    <w:basedOn w:val="ListParagraph"/>
    <w:link w:val="Heading2BulletChar"/>
    <w:rsid w:val="00FD69D7"/>
    <w:pPr>
      <w:numPr>
        <w:numId w:val="5"/>
      </w:numPr>
    </w:pPr>
    <w:rPr>
      <w:rFonts w:cs="Arial"/>
      <w:b/>
      <w:sz w:val="28"/>
    </w:rPr>
  </w:style>
  <w:style w:type="paragraph" w:customStyle="1" w:styleId="Bullet2-Heading2">
    <w:name w:val="Bullet2-Heading 2"/>
    <w:basedOn w:val="ListParagraph"/>
    <w:link w:val="Bullet2-Heading2Char"/>
    <w:qFormat/>
    <w:rsid w:val="003B201B"/>
    <w:pPr>
      <w:ind w:hanging="216"/>
    </w:pPr>
  </w:style>
  <w:style w:type="character" w:customStyle="1" w:styleId="Heading2BulletChar">
    <w:name w:val="Heading2 Bullet Char"/>
    <w:basedOn w:val="ListParagraphChar"/>
    <w:link w:val="Heading2Bullet"/>
    <w:rsid w:val="00FD69D7"/>
    <w:rPr>
      <w:rFonts w:ascii="Segoe UI" w:hAnsi="Segoe UI" w:cs="Arial"/>
      <w:b/>
      <w:color w:val="0F243E" w:themeColor="text2" w:themeShade="80"/>
      <w:sz w:val="28"/>
      <w:szCs w:val="26"/>
    </w:rPr>
  </w:style>
  <w:style w:type="paragraph" w:customStyle="1" w:styleId="SmallTextBullet">
    <w:name w:val="Small Text Bullet"/>
    <w:basedOn w:val="SmallText"/>
    <w:link w:val="SmallTextBulletChar"/>
    <w:qFormat/>
    <w:rsid w:val="00FE3A8D"/>
    <w:pPr>
      <w:numPr>
        <w:numId w:val="10"/>
      </w:numPr>
      <w:ind w:left="864" w:hanging="288"/>
    </w:pPr>
    <w:rPr>
      <w:rFonts w:cs="Segoe UI Light"/>
    </w:rPr>
  </w:style>
  <w:style w:type="character" w:customStyle="1" w:styleId="Bullet2-Heading2Char">
    <w:name w:val="Bullet2-Heading 2 Char"/>
    <w:basedOn w:val="ListParagraphChar"/>
    <w:link w:val="Bullet2-Heading2"/>
    <w:rsid w:val="003B201B"/>
    <w:rPr>
      <w:rFonts w:ascii="Segoe UI" w:hAnsi="Segoe UI"/>
      <w:color w:val="0F243E" w:themeColor="text2" w:themeShade="80"/>
      <w:sz w:val="24"/>
      <w:szCs w:val="26"/>
    </w:rPr>
  </w:style>
  <w:style w:type="paragraph" w:customStyle="1" w:styleId="BulletHeading2">
    <w:name w:val="&gt;Bullet Heading 2"/>
    <w:basedOn w:val="Heading2Bullet"/>
    <w:link w:val="BulletHeading2Char"/>
    <w:qFormat/>
    <w:rsid w:val="00BF5957"/>
    <w:pPr>
      <w:ind w:left="720"/>
    </w:pPr>
  </w:style>
  <w:style w:type="character" w:customStyle="1" w:styleId="SmallTextBulletChar">
    <w:name w:val="Small Text Bullet Char"/>
    <w:basedOn w:val="ListParagraphChar"/>
    <w:link w:val="SmallTextBullet"/>
    <w:rsid w:val="00FE3A8D"/>
    <w:rPr>
      <w:rFonts w:ascii="Calibri Light" w:hAnsi="Calibri Light" w:cs="Segoe UI Light"/>
      <w:color w:val="262626" w:themeColor="text1" w:themeTint="D9"/>
      <w:spacing w:val="4"/>
      <w:kern w:val="20"/>
      <w:sz w:val="24"/>
      <w:szCs w:val="21"/>
    </w:rPr>
  </w:style>
  <w:style w:type="paragraph" w:customStyle="1" w:styleId="Heading32">
    <w:name w:val="&gt;Heading3"/>
    <w:basedOn w:val="Heading3"/>
    <w:next w:val="Normal"/>
    <w:link w:val="Heading3Char0"/>
    <w:qFormat/>
    <w:rsid w:val="007A17CF"/>
    <w:pPr>
      <w:spacing w:before="20"/>
      <w:ind w:left="720"/>
    </w:pPr>
    <w:rPr>
      <w:rFonts w:cs="Segoe UI"/>
    </w:rPr>
  </w:style>
  <w:style w:type="character" w:customStyle="1" w:styleId="BulletHeading2Char">
    <w:name w:val="&gt;Bullet Heading 2 Char"/>
    <w:basedOn w:val="Heading2BulletChar"/>
    <w:link w:val="BulletHeading2"/>
    <w:rsid w:val="00BF5957"/>
    <w:rPr>
      <w:rFonts w:ascii="Segoe UI" w:hAnsi="Segoe UI" w:cs="Arial"/>
      <w:b/>
      <w:color w:val="0F243E" w:themeColor="text2" w:themeShade="80"/>
      <w:sz w:val="28"/>
      <w:szCs w:val="26"/>
    </w:rPr>
  </w:style>
  <w:style w:type="paragraph" w:customStyle="1" w:styleId="SmallText">
    <w:name w:val="Small Text"/>
    <w:link w:val="SmallTextChar"/>
    <w:qFormat/>
    <w:rsid w:val="00FE3A8D"/>
    <w:pPr>
      <w:spacing w:after="0" w:line="216" w:lineRule="auto"/>
      <w:ind w:left="360"/>
    </w:pPr>
    <w:rPr>
      <w:rFonts w:ascii="Calibri Light" w:hAnsi="Calibri Light" w:cs="Leelawadee UI Semilight"/>
      <w:color w:val="262626" w:themeColor="text1" w:themeTint="D9"/>
      <w:spacing w:val="4"/>
      <w:kern w:val="20"/>
      <w:szCs w:val="21"/>
    </w:rPr>
  </w:style>
  <w:style w:type="character" w:customStyle="1" w:styleId="Heading3Char0">
    <w:name w:val="&gt;Heading3 Char"/>
    <w:basedOn w:val="Bullet2-Heading2Char"/>
    <w:link w:val="Heading32"/>
    <w:rsid w:val="007A17CF"/>
    <w:rPr>
      <w:rFonts w:ascii="Segoe UI" w:eastAsiaTheme="majorEastAsia" w:hAnsi="Segoe UI" w:cs="Segoe UI"/>
      <w:color w:val="000000" w:themeColor="text1"/>
      <w:sz w:val="24"/>
      <w:szCs w:val="26"/>
    </w:rPr>
  </w:style>
  <w:style w:type="paragraph" w:customStyle="1" w:styleId="ASHE">
    <w:name w:val="ASHE"/>
    <w:basedOn w:val="Normal"/>
    <w:link w:val="ASHEChar"/>
    <w:rsid w:val="001539AF"/>
    <w:rPr>
      <w:lang w:eastAsia="en-US"/>
    </w:rPr>
  </w:style>
  <w:style w:type="character" w:customStyle="1" w:styleId="SmallTextChar">
    <w:name w:val="Small Text Char"/>
    <w:basedOn w:val="SmallTextBulletChar"/>
    <w:link w:val="SmallText"/>
    <w:rsid w:val="00FE3A8D"/>
    <w:rPr>
      <w:rFonts w:ascii="Calibri Light" w:hAnsi="Calibri Light" w:cs="Leelawadee UI Semilight"/>
      <w:color w:val="262626" w:themeColor="text1" w:themeTint="D9"/>
      <w:spacing w:val="4"/>
      <w:kern w:val="20"/>
      <w:sz w:val="24"/>
      <w:szCs w:val="21"/>
    </w:rPr>
  </w:style>
  <w:style w:type="character" w:customStyle="1" w:styleId="ASHEChar">
    <w:name w:val="ASHE Char"/>
    <w:basedOn w:val="DefaultParagraphFont"/>
    <w:link w:val="ASHE"/>
    <w:rsid w:val="001539AF"/>
    <w:rPr>
      <w:rFonts w:ascii="Calibri" w:hAnsi="Calibri"/>
      <w:color w:val="0F243E" w:themeColor="text2" w:themeShade="80"/>
      <w:sz w:val="24"/>
      <w:szCs w:val="26"/>
      <w:lang w:eastAsia="en-US"/>
    </w:rPr>
  </w:style>
  <w:style w:type="paragraph" w:customStyle="1" w:styleId="13Text">
    <w:name w:val="13Text"/>
    <w:basedOn w:val="Normal"/>
    <w:link w:val="13TextChar"/>
    <w:rsid w:val="008272D7"/>
    <w:rPr>
      <w:color w:val="0D0D0D" w:themeColor="text1" w:themeTint="F2"/>
    </w:rPr>
  </w:style>
  <w:style w:type="character" w:customStyle="1" w:styleId="13TextChar">
    <w:name w:val="13Text Char"/>
    <w:basedOn w:val="Heading3Char"/>
    <w:link w:val="13Text"/>
    <w:rsid w:val="008272D7"/>
    <w:rPr>
      <w:rFonts w:ascii="Calibri" w:eastAsiaTheme="majorEastAsia" w:hAnsi="Calibri" w:cs="Arial"/>
      <w:b/>
      <w:color w:val="0D0D0D" w:themeColor="text1" w:themeTint="F2"/>
      <w:spacing w:val="4"/>
      <w:sz w:val="26"/>
      <w:szCs w:val="26"/>
    </w:rPr>
  </w:style>
  <w:style w:type="paragraph" w:customStyle="1" w:styleId="TextBox">
    <w:name w:val="TextBox"/>
    <w:link w:val="TextBoxChar"/>
    <w:qFormat/>
    <w:rsid w:val="001B3EE4"/>
    <w:pPr>
      <w:framePr w:hSpace="576" w:vSpace="144" w:wrap="around" w:vAnchor="text" w:hAnchor="margin" w:xAlign="right" w:y="143"/>
      <w:spacing w:after="0" w:line="240" w:lineRule="exact"/>
      <w:suppressOverlap/>
      <w:jc w:val="left"/>
    </w:pPr>
    <w:rPr>
      <w:rFonts w:ascii="Calibri Light" w:hAnsi="Calibri Light" w:cs="Segoe UI Semibold"/>
      <w:color w:val="000000" w:themeColor="text1"/>
      <w:spacing w:val="4"/>
      <w:kern w:val="20"/>
      <w:sz w:val="20"/>
      <w:szCs w:val="21"/>
    </w:rPr>
  </w:style>
  <w:style w:type="paragraph" w:customStyle="1" w:styleId="Heading31">
    <w:name w:val="Heading 3.1"/>
    <w:basedOn w:val="Heading3"/>
    <w:link w:val="Heading31Char"/>
    <w:qFormat/>
    <w:rsid w:val="005958ED"/>
    <w:pPr>
      <w:numPr>
        <w:numId w:val="11"/>
      </w:numPr>
    </w:pPr>
  </w:style>
  <w:style w:type="character" w:customStyle="1" w:styleId="TextBoxChar">
    <w:name w:val="TextBox Char"/>
    <w:basedOn w:val="SmallTextChar"/>
    <w:link w:val="TextBox"/>
    <w:rsid w:val="001B3EE4"/>
    <w:rPr>
      <w:rFonts w:ascii="Calibri Light" w:hAnsi="Calibri Light" w:cs="Segoe UI Semibold"/>
      <w:color w:val="000000" w:themeColor="text1"/>
      <w:spacing w:val="4"/>
      <w:kern w:val="20"/>
      <w:sz w:val="20"/>
      <w:szCs w:val="21"/>
    </w:rPr>
  </w:style>
  <w:style w:type="paragraph" w:customStyle="1" w:styleId="BulletNormalText">
    <w:name w:val="Bullet Normal Text"/>
    <w:basedOn w:val="Heading3"/>
    <w:link w:val="BulletNormalTextChar"/>
    <w:qFormat/>
    <w:rsid w:val="00CA3862"/>
    <w:pPr>
      <w:numPr>
        <w:numId w:val="12"/>
      </w:numPr>
      <w:spacing w:line="240" w:lineRule="auto"/>
      <w:ind w:left="504"/>
    </w:pPr>
    <w:rPr>
      <w:rFonts w:asciiTheme="majorHAnsi" w:hAnsiTheme="majorHAnsi" w:cs="Segoe UI"/>
      <w:color w:val="0D0D0D" w:themeColor="text1" w:themeTint="F2"/>
      <w:sz w:val="24"/>
      <w:szCs w:val="25"/>
    </w:rPr>
  </w:style>
  <w:style w:type="character" w:customStyle="1" w:styleId="Heading31Char">
    <w:name w:val="Heading 3.1 Char"/>
    <w:basedOn w:val="Heading3Char"/>
    <w:link w:val="Heading31"/>
    <w:rsid w:val="005958ED"/>
    <w:rPr>
      <w:rFonts w:ascii="Segoe UI Semibold" w:eastAsiaTheme="majorEastAsia" w:hAnsi="Segoe UI Semibold" w:cs="Arial"/>
      <w:b/>
      <w:color w:val="17365D" w:themeColor="text2" w:themeShade="BF"/>
      <w:spacing w:val="4"/>
      <w:sz w:val="24"/>
      <w:szCs w:val="26"/>
    </w:rPr>
  </w:style>
  <w:style w:type="paragraph" w:customStyle="1" w:styleId="Heading30">
    <w:name w:val="&gt;&gt;Heading3"/>
    <w:basedOn w:val="Heading32"/>
    <w:link w:val="Heading3Char1"/>
    <w:qFormat/>
    <w:rsid w:val="001B3EE4"/>
    <w:pPr>
      <w:numPr>
        <w:numId w:val="17"/>
      </w:numPr>
      <w:ind w:left="648" w:hanging="288"/>
    </w:pPr>
    <w:rPr>
      <w:rFonts w:ascii="Calibri Light" w:hAnsi="Calibri Light" w:cs="Segoe UI Semilight"/>
    </w:rPr>
  </w:style>
  <w:style w:type="character" w:customStyle="1" w:styleId="BulletNormalTextChar">
    <w:name w:val="Bullet Normal Text Char"/>
    <w:basedOn w:val="Heading3Char"/>
    <w:link w:val="BulletNormalText"/>
    <w:rsid w:val="00CA3862"/>
    <w:rPr>
      <w:rFonts w:asciiTheme="majorHAnsi" w:eastAsiaTheme="majorEastAsia" w:hAnsiTheme="majorHAnsi" w:cs="Segoe UI"/>
      <w:b/>
      <w:color w:val="0D0D0D" w:themeColor="text1" w:themeTint="F2"/>
      <w:sz w:val="24"/>
      <w:szCs w:val="25"/>
    </w:rPr>
  </w:style>
  <w:style w:type="character" w:customStyle="1" w:styleId="Heading3Char1">
    <w:name w:val="&gt;&gt;Heading3 Char"/>
    <w:basedOn w:val="Heading3Char0"/>
    <w:link w:val="Heading30"/>
    <w:rsid w:val="001B3EE4"/>
    <w:rPr>
      <w:rFonts w:ascii="Calibri Light" w:eastAsiaTheme="majorEastAsia" w:hAnsi="Calibri Light" w:cs="Segoe UI Semilight"/>
      <w:color w:val="000000" w:themeColor="text1"/>
      <w:sz w:val="24"/>
      <w:szCs w:val="26"/>
    </w:rPr>
  </w:style>
  <w:style w:type="paragraph" w:styleId="NormalWeb">
    <w:name w:val="Normal (Web)"/>
    <w:basedOn w:val="Normal"/>
    <w:uiPriority w:val="99"/>
    <w:semiHidden/>
    <w:unhideWhenUsed/>
    <w:rsid w:val="002E530B"/>
    <w:rPr>
      <w:rFonts w:ascii="Times New Roman" w:hAnsi="Times New Roman" w:cs="Times New Roman"/>
      <w:szCs w:val="24"/>
    </w:rPr>
  </w:style>
  <w:style w:type="paragraph" w:customStyle="1" w:styleId="IntroducationText">
    <w:name w:val="Introducation Text"/>
    <w:basedOn w:val="Normal"/>
    <w:link w:val="IntroducationTextChar"/>
    <w:qFormat/>
    <w:rsid w:val="009E5FB0"/>
    <w:pPr>
      <w:spacing w:before="120" w:after="60"/>
    </w:pPr>
    <w:rPr>
      <w:rFonts w:cs="Segoe UI Light"/>
      <w:sz w:val="25"/>
      <w:szCs w:val="25"/>
    </w:rPr>
  </w:style>
  <w:style w:type="paragraph" w:customStyle="1" w:styleId="IntroductionBullet1">
    <w:name w:val="Introduction Bullet 1"/>
    <w:basedOn w:val="IntroducationText"/>
    <w:link w:val="IntroductionBullet1Char"/>
    <w:qFormat/>
    <w:rsid w:val="00C0353F"/>
    <w:pPr>
      <w:numPr>
        <w:numId w:val="21"/>
      </w:numPr>
      <w:spacing w:before="40" w:after="40"/>
      <w:ind w:left="547" w:hanging="259"/>
    </w:pPr>
  </w:style>
  <w:style w:type="character" w:customStyle="1" w:styleId="IntroducationTextChar">
    <w:name w:val="Introducation Text Char"/>
    <w:basedOn w:val="DefaultParagraphFont"/>
    <w:link w:val="IntroducationText"/>
    <w:rsid w:val="009E5FB0"/>
    <w:rPr>
      <w:rFonts w:cs="Segoe UI Light"/>
      <w:color w:val="000000" w:themeColor="text1"/>
      <w:sz w:val="25"/>
      <w:szCs w:val="25"/>
    </w:rPr>
  </w:style>
  <w:style w:type="character" w:customStyle="1" w:styleId="IntroductionBullet1Char">
    <w:name w:val="Introduction Bullet 1 Char"/>
    <w:basedOn w:val="IntroducationTextChar"/>
    <w:link w:val="IntroductionBullet1"/>
    <w:rsid w:val="00C0353F"/>
    <w:rPr>
      <w:rFonts w:cs="Segoe UI Light"/>
      <w:color w:val="000000" w:themeColor="text1"/>
      <w:sz w:val="25"/>
      <w:szCs w:val="25"/>
    </w:rPr>
  </w:style>
  <w:style w:type="paragraph" w:customStyle="1" w:styleId="DataBoxBullet">
    <w:name w:val="Data Box Bullet"/>
    <w:basedOn w:val="BulletNormalText"/>
    <w:link w:val="DataBoxBulletChar"/>
    <w:qFormat/>
    <w:rsid w:val="00B40E75"/>
    <w:pPr>
      <w:spacing w:before="0"/>
      <w:ind w:left="288" w:hanging="288"/>
    </w:pPr>
    <w:rPr>
      <w:sz w:val="21"/>
      <w:szCs w:val="21"/>
    </w:rPr>
  </w:style>
  <w:style w:type="character" w:customStyle="1" w:styleId="DataBoxBulletChar">
    <w:name w:val="Data Box Bullet Char"/>
    <w:basedOn w:val="BulletNormalTextChar"/>
    <w:link w:val="DataBoxBullet"/>
    <w:rsid w:val="00B40E75"/>
    <w:rPr>
      <w:rFonts w:asciiTheme="majorHAnsi" w:eastAsiaTheme="majorEastAsia" w:hAnsiTheme="majorHAnsi" w:cs="Segoe UI"/>
      <w:b/>
      <w:color w:val="000000" w:themeColor="text1"/>
      <w:sz w:val="21"/>
      <w:szCs w:val="21"/>
    </w:rPr>
  </w:style>
  <w:style w:type="paragraph" w:customStyle="1" w:styleId="Heading3A">
    <w:name w:val="Heading 3A"/>
    <w:basedOn w:val="Heading32"/>
    <w:link w:val="Heading3AChar"/>
    <w:qFormat/>
    <w:rsid w:val="006C100C"/>
    <w:pPr>
      <w:numPr>
        <w:numId w:val="28"/>
      </w:numPr>
      <w:ind w:left="864"/>
    </w:pPr>
    <w:rPr>
      <w:b w:val="0"/>
    </w:rPr>
  </w:style>
  <w:style w:type="character" w:customStyle="1" w:styleId="Heading3AChar">
    <w:name w:val="Heading 3A Char"/>
    <w:basedOn w:val="Heading3Char0"/>
    <w:link w:val="Heading3A"/>
    <w:rsid w:val="006C100C"/>
    <w:rPr>
      <w:rFonts w:ascii="Segoe UI" w:eastAsiaTheme="majorEastAsia" w:hAnsi="Segoe UI" w:cs="Segoe UI"/>
      <w:color w:val="000000" w:themeColor="text1"/>
      <w:sz w:val="26"/>
      <w:szCs w:val="26"/>
    </w:rPr>
  </w:style>
  <w:style w:type="paragraph" w:customStyle="1" w:styleId="NoSpacingBOLD">
    <w:name w:val="No Spacing BOLD"/>
    <w:basedOn w:val="NoSpacing"/>
    <w:link w:val="NoSpacingBOLDChar"/>
    <w:qFormat/>
    <w:rsid w:val="002776AD"/>
    <w:pPr>
      <w:spacing w:before="20" w:after="20" w:line="210" w:lineRule="exact"/>
      <w:jc w:val="center"/>
    </w:pPr>
    <w:rPr>
      <w:rFonts w:eastAsiaTheme="minorHAnsi"/>
      <w:b/>
      <w:lang w:eastAsia="en-US"/>
    </w:rPr>
  </w:style>
  <w:style w:type="character" w:customStyle="1" w:styleId="NoSpacingChar">
    <w:name w:val="No Spacing Char"/>
    <w:basedOn w:val="DefaultParagraphFont"/>
    <w:link w:val="NoSpacing"/>
    <w:uiPriority w:val="1"/>
    <w:rsid w:val="002776AD"/>
  </w:style>
  <w:style w:type="character" w:customStyle="1" w:styleId="NoSpacingBOLDChar">
    <w:name w:val="No Spacing BOLD Char"/>
    <w:basedOn w:val="NoSpacingChar"/>
    <w:link w:val="NoSpacingBOLD"/>
    <w:rsid w:val="002776AD"/>
    <w:rPr>
      <w:rFonts w:eastAsiaTheme="minorHAnsi"/>
      <w:b/>
      <w:lang w:eastAsia="en-US"/>
    </w:rPr>
  </w:style>
  <w:style w:type="paragraph" w:customStyle="1" w:styleId="Appendix">
    <w:name w:val="Appendix"/>
    <w:link w:val="AppendixChar"/>
    <w:qFormat/>
    <w:rsid w:val="007A2D40"/>
    <w:pPr>
      <w:spacing w:before="40" w:after="0" w:line="240" w:lineRule="auto"/>
      <w:jc w:val="left"/>
    </w:pPr>
    <w:rPr>
      <w:rFonts w:eastAsiaTheme="majorEastAsia" w:cs="Arial"/>
      <w:b/>
      <w:noProof/>
      <w:color w:val="000000" w:themeColor="text1"/>
      <w:sz w:val="24"/>
      <w:szCs w:val="26"/>
    </w:rPr>
  </w:style>
  <w:style w:type="character" w:customStyle="1" w:styleId="AppendixChar">
    <w:name w:val="Appendix Char"/>
    <w:basedOn w:val="Heading3Char"/>
    <w:link w:val="Appendix"/>
    <w:rsid w:val="007A2D40"/>
    <w:rPr>
      <w:rFonts w:eastAsiaTheme="majorEastAsia" w:cs="Arial"/>
      <w:b/>
      <w:noProof/>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3171">
      <w:bodyDiv w:val="1"/>
      <w:marLeft w:val="0"/>
      <w:marRight w:val="0"/>
      <w:marTop w:val="0"/>
      <w:marBottom w:val="0"/>
      <w:divBdr>
        <w:top w:val="none" w:sz="0" w:space="0" w:color="auto"/>
        <w:left w:val="none" w:sz="0" w:space="0" w:color="auto"/>
        <w:bottom w:val="none" w:sz="0" w:space="0" w:color="auto"/>
        <w:right w:val="none" w:sz="0" w:space="0" w:color="auto"/>
      </w:divBdr>
    </w:div>
    <w:div w:id="267348800">
      <w:bodyDiv w:val="1"/>
      <w:marLeft w:val="0"/>
      <w:marRight w:val="0"/>
      <w:marTop w:val="0"/>
      <w:marBottom w:val="0"/>
      <w:divBdr>
        <w:top w:val="none" w:sz="0" w:space="0" w:color="auto"/>
        <w:left w:val="none" w:sz="0" w:space="0" w:color="auto"/>
        <w:bottom w:val="none" w:sz="0" w:space="0" w:color="auto"/>
        <w:right w:val="none" w:sz="0" w:space="0" w:color="auto"/>
      </w:divBdr>
    </w:div>
    <w:div w:id="294068711">
      <w:bodyDiv w:val="1"/>
      <w:marLeft w:val="0"/>
      <w:marRight w:val="0"/>
      <w:marTop w:val="0"/>
      <w:marBottom w:val="0"/>
      <w:divBdr>
        <w:top w:val="none" w:sz="0" w:space="0" w:color="auto"/>
        <w:left w:val="none" w:sz="0" w:space="0" w:color="auto"/>
        <w:bottom w:val="none" w:sz="0" w:space="0" w:color="auto"/>
        <w:right w:val="none" w:sz="0" w:space="0" w:color="auto"/>
      </w:divBdr>
    </w:div>
    <w:div w:id="545988341">
      <w:bodyDiv w:val="1"/>
      <w:marLeft w:val="0"/>
      <w:marRight w:val="0"/>
      <w:marTop w:val="0"/>
      <w:marBottom w:val="0"/>
      <w:divBdr>
        <w:top w:val="none" w:sz="0" w:space="0" w:color="auto"/>
        <w:left w:val="none" w:sz="0" w:space="0" w:color="auto"/>
        <w:bottom w:val="none" w:sz="0" w:space="0" w:color="auto"/>
        <w:right w:val="none" w:sz="0" w:space="0" w:color="auto"/>
      </w:divBdr>
    </w:div>
    <w:div w:id="592517350">
      <w:bodyDiv w:val="1"/>
      <w:marLeft w:val="0"/>
      <w:marRight w:val="0"/>
      <w:marTop w:val="0"/>
      <w:marBottom w:val="0"/>
      <w:divBdr>
        <w:top w:val="none" w:sz="0" w:space="0" w:color="auto"/>
        <w:left w:val="none" w:sz="0" w:space="0" w:color="auto"/>
        <w:bottom w:val="none" w:sz="0" w:space="0" w:color="auto"/>
        <w:right w:val="none" w:sz="0" w:space="0" w:color="auto"/>
      </w:divBdr>
    </w:div>
    <w:div w:id="706831962">
      <w:bodyDiv w:val="1"/>
      <w:marLeft w:val="0"/>
      <w:marRight w:val="0"/>
      <w:marTop w:val="0"/>
      <w:marBottom w:val="0"/>
      <w:divBdr>
        <w:top w:val="none" w:sz="0" w:space="0" w:color="auto"/>
        <w:left w:val="none" w:sz="0" w:space="0" w:color="auto"/>
        <w:bottom w:val="none" w:sz="0" w:space="0" w:color="auto"/>
        <w:right w:val="none" w:sz="0" w:space="0" w:color="auto"/>
      </w:divBdr>
    </w:div>
    <w:div w:id="765225074">
      <w:bodyDiv w:val="1"/>
      <w:marLeft w:val="0"/>
      <w:marRight w:val="0"/>
      <w:marTop w:val="0"/>
      <w:marBottom w:val="0"/>
      <w:divBdr>
        <w:top w:val="none" w:sz="0" w:space="0" w:color="auto"/>
        <w:left w:val="none" w:sz="0" w:space="0" w:color="auto"/>
        <w:bottom w:val="none" w:sz="0" w:space="0" w:color="auto"/>
        <w:right w:val="none" w:sz="0" w:space="0" w:color="auto"/>
      </w:divBdr>
    </w:div>
    <w:div w:id="1125074690">
      <w:bodyDiv w:val="1"/>
      <w:marLeft w:val="0"/>
      <w:marRight w:val="0"/>
      <w:marTop w:val="0"/>
      <w:marBottom w:val="0"/>
      <w:divBdr>
        <w:top w:val="none" w:sz="0" w:space="0" w:color="auto"/>
        <w:left w:val="none" w:sz="0" w:space="0" w:color="auto"/>
        <w:bottom w:val="none" w:sz="0" w:space="0" w:color="auto"/>
        <w:right w:val="none" w:sz="0" w:space="0" w:color="auto"/>
      </w:divBdr>
    </w:div>
    <w:div w:id="1200321724">
      <w:bodyDiv w:val="1"/>
      <w:marLeft w:val="0"/>
      <w:marRight w:val="0"/>
      <w:marTop w:val="0"/>
      <w:marBottom w:val="0"/>
      <w:divBdr>
        <w:top w:val="none" w:sz="0" w:space="0" w:color="auto"/>
        <w:left w:val="none" w:sz="0" w:space="0" w:color="auto"/>
        <w:bottom w:val="none" w:sz="0" w:space="0" w:color="auto"/>
        <w:right w:val="none" w:sz="0" w:space="0" w:color="auto"/>
      </w:divBdr>
      <w:divsChild>
        <w:div w:id="934245883">
          <w:marLeft w:val="648"/>
          <w:marRight w:val="0"/>
          <w:marTop w:val="140"/>
          <w:marBottom w:val="0"/>
          <w:divBdr>
            <w:top w:val="none" w:sz="0" w:space="0" w:color="auto"/>
            <w:left w:val="none" w:sz="0" w:space="0" w:color="auto"/>
            <w:bottom w:val="none" w:sz="0" w:space="0" w:color="auto"/>
            <w:right w:val="none" w:sz="0" w:space="0" w:color="auto"/>
          </w:divBdr>
        </w:div>
        <w:div w:id="1392390363">
          <w:marLeft w:val="648"/>
          <w:marRight w:val="0"/>
          <w:marTop w:val="140"/>
          <w:marBottom w:val="0"/>
          <w:divBdr>
            <w:top w:val="none" w:sz="0" w:space="0" w:color="auto"/>
            <w:left w:val="none" w:sz="0" w:space="0" w:color="auto"/>
            <w:bottom w:val="none" w:sz="0" w:space="0" w:color="auto"/>
            <w:right w:val="none" w:sz="0" w:space="0" w:color="auto"/>
          </w:divBdr>
        </w:div>
      </w:divsChild>
    </w:div>
    <w:div w:id="1256132237">
      <w:bodyDiv w:val="1"/>
      <w:marLeft w:val="0"/>
      <w:marRight w:val="0"/>
      <w:marTop w:val="0"/>
      <w:marBottom w:val="0"/>
      <w:divBdr>
        <w:top w:val="none" w:sz="0" w:space="0" w:color="auto"/>
        <w:left w:val="none" w:sz="0" w:space="0" w:color="auto"/>
        <w:bottom w:val="none" w:sz="0" w:space="0" w:color="auto"/>
        <w:right w:val="none" w:sz="0" w:space="0" w:color="auto"/>
      </w:divBdr>
    </w:div>
    <w:div w:id="1531602784">
      <w:bodyDiv w:val="1"/>
      <w:marLeft w:val="0"/>
      <w:marRight w:val="0"/>
      <w:marTop w:val="0"/>
      <w:marBottom w:val="0"/>
      <w:divBdr>
        <w:top w:val="none" w:sz="0" w:space="0" w:color="auto"/>
        <w:left w:val="none" w:sz="0" w:space="0" w:color="auto"/>
        <w:bottom w:val="none" w:sz="0" w:space="0" w:color="auto"/>
        <w:right w:val="none" w:sz="0" w:space="0" w:color="auto"/>
      </w:divBdr>
    </w:div>
    <w:div w:id="1859540606">
      <w:bodyDiv w:val="1"/>
      <w:marLeft w:val="0"/>
      <w:marRight w:val="0"/>
      <w:marTop w:val="0"/>
      <w:marBottom w:val="0"/>
      <w:divBdr>
        <w:top w:val="none" w:sz="0" w:space="0" w:color="auto"/>
        <w:left w:val="none" w:sz="0" w:space="0" w:color="auto"/>
        <w:bottom w:val="none" w:sz="0" w:space="0" w:color="auto"/>
        <w:right w:val="none" w:sz="0" w:space="0" w:color="auto"/>
      </w:divBdr>
      <w:divsChild>
        <w:div w:id="1944605868">
          <w:marLeft w:val="547"/>
          <w:marRight w:val="0"/>
          <w:marTop w:val="0"/>
          <w:marBottom w:val="0"/>
          <w:divBdr>
            <w:top w:val="none" w:sz="0" w:space="0" w:color="auto"/>
            <w:left w:val="none" w:sz="0" w:space="0" w:color="auto"/>
            <w:bottom w:val="none" w:sz="0" w:space="0" w:color="auto"/>
            <w:right w:val="none" w:sz="0" w:space="0" w:color="auto"/>
          </w:divBdr>
        </w:div>
        <w:div w:id="453132345">
          <w:marLeft w:val="547"/>
          <w:marRight w:val="0"/>
          <w:marTop w:val="0"/>
          <w:marBottom w:val="0"/>
          <w:divBdr>
            <w:top w:val="none" w:sz="0" w:space="0" w:color="auto"/>
            <w:left w:val="none" w:sz="0" w:space="0" w:color="auto"/>
            <w:bottom w:val="none" w:sz="0" w:space="0" w:color="auto"/>
            <w:right w:val="none" w:sz="0" w:space="0" w:color="auto"/>
          </w:divBdr>
        </w:div>
        <w:div w:id="770515118">
          <w:marLeft w:val="547"/>
          <w:marRight w:val="0"/>
          <w:marTop w:val="0"/>
          <w:marBottom w:val="0"/>
          <w:divBdr>
            <w:top w:val="none" w:sz="0" w:space="0" w:color="auto"/>
            <w:left w:val="none" w:sz="0" w:space="0" w:color="auto"/>
            <w:bottom w:val="none" w:sz="0" w:space="0" w:color="auto"/>
            <w:right w:val="none" w:sz="0" w:space="0" w:color="auto"/>
          </w:divBdr>
        </w:div>
        <w:div w:id="1853641022">
          <w:marLeft w:val="547"/>
          <w:marRight w:val="0"/>
          <w:marTop w:val="0"/>
          <w:marBottom w:val="0"/>
          <w:divBdr>
            <w:top w:val="none" w:sz="0" w:space="0" w:color="auto"/>
            <w:left w:val="none" w:sz="0" w:space="0" w:color="auto"/>
            <w:bottom w:val="none" w:sz="0" w:space="0" w:color="auto"/>
            <w:right w:val="none" w:sz="0" w:space="0" w:color="auto"/>
          </w:divBdr>
        </w:div>
        <w:div w:id="68231231">
          <w:marLeft w:val="547"/>
          <w:marRight w:val="0"/>
          <w:marTop w:val="0"/>
          <w:marBottom w:val="0"/>
          <w:divBdr>
            <w:top w:val="none" w:sz="0" w:space="0" w:color="auto"/>
            <w:left w:val="none" w:sz="0" w:space="0" w:color="auto"/>
            <w:bottom w:val="none" w:sz="0" w:space="0" w:color="auto"/>
            <w:right w:val="none" w:sz="0" w:space="0" w:color="auto"/>
          </w:divBdr>
        </w:div>
        <w:div w:id="777867674">
          <w:marLeft w:val="547"/>
          <w:marRight w:val="0"/>
          <w:marTop w:val="0"/>
          <w:marBottom w:val="0"/>
          <w:divBdr>
            <w:top w:val="none" w:sz="0" w:space="0" w:color="auto"/>
            <w:left w:val="none" w:sz="0" w:space="0" w:color="auto"/>
            <w:bottom w:val="none" w:sz="0" w:space="0" w:color="auto"/>
            <w:right w:val="none" w:sz="0" w:space="0" w:color="auto"/>
          </w:divBdr>
        </w:div>
        <w:div w:id="1589537120">
          <w:marLeft w:val="547"/>
          <w:marRight w:val="0"/>
          <w:marTop w:val="0"/>
          <w:marBottom w:val="0"/>
          <w:divBdr>
            <w:top w:val="none" w:sz="0" w:space="0" w:color="auto"/>
            <w:left w:val="none" w:sz="0" w:space="0" w:color="auto"/>
            <w:bottom w:val="none" w:sz="0" w:space="0" w:color="auto"/>
            <w:right w:val="none" w:sz="0" w:space="0" w:color="auto"/>
          </w:divBdr>
        </w:div>
        <w:div w:id="16408462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image" Target="media/image3.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Microsoft_Excel_97-2003_Worksheet.xls"/><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2.emf"/><Relationship Id="rId28" Type="http://schemas.openxmlformats.org/officeDocument/2006/relationships/hyperlink" Target="http://www.ahrmm.org/resources/tools/supply-chain-disaster-preparedness-manual.pdf" TargetMode="Externa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package" Target="embeddings/Microsoft_Word_Document.doc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wett\AppData\Roaming\Microsoft\Templates\Report%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6A211C-AC7F-4D93-8A43-5933CAF77589}"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9A3C7DDD-4E73-4F28-83EF-BE32ED4D9587}">
      <dgm:prSet phldrT="[Text]" custT="1"/>
      <dgm:spPr>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mpd="sng">
          <a:solidFill>
            <a:schemeClr val="tx1">
              <a:lumMod val="50000"/>
              <a:lumOff val="50000"/>
            </a:schemeClr>
          </a:solidFill>
        </a:ln>
      </dgm:spPr>
      <dgm:t>
        <a:bodyPr lIns="137160" rIns="0"/>
        <a:lstStyle/>
        <a:p>
          <a:r>
            <a:rPr lang="en-US" sz="1000" b="1">
              <a:ln>
                <a:noFill/>
              </a:ln>
              <a:solidFill>
                <a:schemeClr val="tx1"/>
              </a:solidFill>
              <a:latin typeface="+mj-lt"/>
            </a:rPr>
            <a:t>2. Determine Planning Scenario &amp; Assumptions</a:t>
          </a:r>
        </a:p>
      </dgm:t>
    </dgm:pt>
    <dgm:pt modelId="{C1ED6CB3-93EA-4CCA-9269-57557D265BE7}" type="parTrans" cxnId="{929C253B-FA30-4AA3-95E1-8B88BC0A2F0B}">
      <dgm:prSet/>
      <dgm:spPr/>
      <dgm:t>
        <a:bodyPr/>
        <a:lstStyle/>
        <a:p>
          <a:endParaRPr lang="en-US" sz="1000"/>
        </a:p>
      </dgm:t>
    </dgm:pt>
    <dgm:pt modelId="{4B68376B-1144-46AE-A69A-7CCEBE3230E7}" type="sibTrans" cxnId="{929C253B-FA30-4AA3-95E1-8B88BC0A2F0B}">
      <dgm:prSet custT="1"/>
      <dgm:spPr>
        <a:solidFill>
          <a:schemeClr val="accent2">
            <a:lumMod val="50000"/>
          </a:schemeClr>
        </a:solidFill>
        <a:ln>
          <a:solidFill>
            <a:schemeClr val="accent2">
              <a:lumMod val="50000"/>
            </a:schemeClr>
          </a:solidFill>
        </a:ln>
      </dgm:spPr>
      <dgm:t>
        <a:bodyPr/>
        <a:lstStyle/>
        <a:p>
          <a:endParaRPr lang="en-US" sz="1000"/>
        </a:p>
      </dgm:t>
    </dgm:pt>
    <dgm:pt modelId="{765572A9-1CD4-436E-8999-A7C1702B2862}">
      <dgm:prSet phldrT="[Text]" custT="1"/>
      <dgm:spPr>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mpd="sng">
          <a:solidFill>
            <a:schemeClr val="tx1">
              <a:lumMod val="50000"/>
              <a:lumOff val="50000"/>
            </a:schemeClr>
          </a:solidFill>
        </a:ln>
      </dgm:spPr>
      <dgm:t>
        <a:bodyPr lIns="137160" rIns="0"/>
        <a:lstStyle/>
        <a:p>
          <a:r>
            <a:rPr lang="en-US" sz="1000" b="1">
              <a:ln>
                <a:noFill/>
              </a:ln>
              <a:solidFill>
                <a:schemeClr val="tx1"/>
              </a:solidFill>
              <a:latin typeface="+mj-lt"/>
            </a:rPr>
            <a:t>3. Identify Resources Essential to Maintaining Operations</a:t>
          </a:r>
        </a:p>
      </dgm:t>
    </dgm:pt>
    <dgm:pt modelId="{1B0097BE-D1DE-4459-BCD1-E7E57C8EBC0B}" type="parTrans" cxnId="{57047FC2-D77C-41B4-ADC3-6CEE20F57F58}">
      <dgm:prSet/>
      <dgm:spPr/>
      <dgm:t>
        <a:bodyPr/>
        <a:lstStyle/>
        <a:p>
          <a:endParaRPr lang="en-US" sz="1000"/>
        </a:p>
      </dgm:t>
    </dgm:pt>
    <dgm:pt modelId="{4D7C64E0-C055-4A0A-B1D9-0E8FB17F7EDA}" type="sibTrans" cxnId="{57047FC2-D77C-41B4-ADC3-6CEE20F57F58}">
      <dgm:prSet custT="1"/>
      <dgm:spPr>
        <a:solidFill>
          <a:schemeClr val="accent2">
            <a:lumMod val="50000"/>
          </a:schemeClr>
        </a:solidFill>
        <a:ln>
          <a:solidFill>
            <a:schemeClr val="accent2">
              <a:lumMod val="50000"/>
            </a:schemeClr>
          </a:solidFill>
        </a:ln>
      </dgm:spPr>
      <dgm:t>
        <a:bodyPr/>
        <a:lstStyle/>
        <a:p>
          <a:endParaRPr lang="en-US" sz="1000"/>
        </a:p>
      </dgm:t>
    </dgm:pt>
    <dgm:pt modelId="{B830A85D-7DA6-41C7-97CC-B019912190FB}">
      <dgm:prSet phldrT="[Text]" custT="1"/>
      <dgm:spPr>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mpd="sng">
          <a:solidFill>
            <a:schemeClr val="tx1">
              <a:lumMod val="50000"/>
              <a:lumOff val="50000"/>
            </a:schemeClr>
          </a:solidFill>
        </a:ln>
      </dgm:spPr>
      <dgm:t>
        <a:bodyPr lIns="137160" rIns="0"/>
        <a:lstStyle/>
        <a:p>
          <a:r>
            <a:rPr lang="en-US" sz="1000" b="1">
              <a:ln>
                <a:noFill/>
              </a:ln>
              <a:solidFill>
                <a:schemeClr val="tx1"/>
              </a:solidFill>
              <a:latin typeface="+mj-lt"/>
            </a:rPr>
            <a:t>4. Assemble Data  </a:t>
          </a:r>
          <a:r>
            <a:rPr lang="en-US" sz="900" b="0">
              <a:ln>
                <a:noFill/>
              </a:ln>
              <a:solidFill>
                <a:schemeClr val="tx1"/>
              </a:solidFill>
              <a:latin typeface="+mj-lt"/>
            </a:rPr>
            <a:t>Avg Daily Census,  Annual Consumption Rates, Inventories</a:t>
          </a:r>
        </a:p>
      </dgm:t>
    </dgm:pt>
    <dgm:pt modelId="{4DF123BB-96D7-486D-9AB0-599121C901C1}" type="parTrans" cxnId="{B3C714FB-00B5-44DF-AC37-4C8261E6DB28}">
      <dgm:prSet/>
      <dgm:spPr/>
      <dgm:t>
        <a:bodyPr/>
        <a:lstStyle/>
        <a:p>
          <a:endParaRPr lang="en-US" sz="1000"/>
        </a:p>
      </dgm:t>
    </dgm:pt>
    <dgm:pt modelId="{92AF4321-DDAC-45C7-A8B3-5C153DF169B5}" type="sibTrans" cxnId="{B3C714FB-00B5-44DF-AC37-4C8261E6DB28}">
      <dgm:prSet custT="1"/>
      <dgm:spPr>
        <a:solidFill>
          <a:schemeClr val="accent2">
            <a:lumMod val="50000"/>
          </a:schemeClr>
        </a:solidFill>
        <a:ln>
          <a:solidFill>
            <a:schemeClr val="accent2">
              <a:lumMod val="50000"/>
            </a:schemeClr>
          </a:solidFill>
        </a:ln>
      </dgm:spPr>
      <dgm:t>
        <a:bodyPr/>
        <a:lstStyle/>
        <a:p>
          <a:endParaRPr lang="en-US" sz="1000"/>
        </a:p>
      </dgm:t>
    </dgm:pt>
    <dgm:pt modelId="{26E1932E-435E-4235-887F-D64B295A500B}">
      <dgm:prSet custT="1"/>
      <dgm:spPr>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mpd="sng">
          <a:solidFill>
            <a:schemeClr val="tx1">
              <a:lumMod val="50000"/>
              <a:lumOff val="50000"/>
            </a:schemeClr>
          </a:solidFill>
        </a:ln>
      </dgm:spPr>
      <dgm:t>
        <a:bodyPr lIns="137160" rIns="0"/>
        <a:lstStyle/>
        <a:p>
          <a:r>
            <a:rPr lang="en-US" sz="1000" b="1">
              <a:ln>
                <a:noFill/>
              </a:ln>
              <a:solidFill>
                <a:schemeClr val="tx1"/>
              </a:solidFill>
              <a:latin typeface="+mj-lt"/>
            </a:rPr>
            <a:t>5. Identify Dependent Systems &amp; Mitigation Strategies </a:t>
          </a:r>
        </a:p>
      </dgm:t>
    </dgm:pt>
    <dgm:pt modelId="{33644437-E33B-433F-BEEB-ADA904A6D113}" type="parTrans" cxnId="{9C015CB0-D451-46D8-9719-22B5E1D51325}">
      <dgm:prSet/>
      <dgm:spPr/>
      <dgm:t>
        <a:bodyPr/>
        <a:lstStyle/>
        <a:p>
          <a:endParaRPr lang="en-US" sz="1000"/>
        </a:p>
      </dgm:t>
    </dgm:pt>
    <dgm:pt modelId="{DDFFA8A6-0AAE-4996-88FC-9D1A23A936BC}" type="sibTrans" cxnId="{9C015CB0-D451-46D8-9719-22B5E1D51325}">
      <dgm:prSet/>
      <dgm:spPr/>
      <dgm:t>
        <a:bodyPr/>
        <a:lstStyle/>
        <a:p>
          <a:endParaRPr lang="en-US" sz="1000"/>
        </a:p>
      </dgm:t>
    </dgm:pt>
    <dgm:pt modelId="{0D0700CA-DC1F-4B1B-A94F-D3963B35470D}">
      <dgm:prSet phldrT="[Text]" custT="1"/>
      <dgm:spPr>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mpd="sng">
          <a:solidFill>
            <a:schemeClr val="tx1">
              <a:lumMod val="50000"/>
              <a:lumOff val="50000"/>
            </a:schemeClr>
          </a:solidFill>
        </a:ln>
      </dgm:spPr>
      <dgm:t>
        <a:bodyPr lIns="137160" rIns="0"/>
        <a:lstStyle/>
        <a:p>
          <a:r>
            <a:rPr lang="en-US" sz="1000" b="1">
              <a:ln>
                <a:noFill/>
              </a:ln>
              <a:solidFill>
                <a:schemeClr val="tx1"/>
              </a:solidFill>
              <a:latin typeface="+mj-lt"/>
            </a:rPr>
            <a:t>1. Identify Assessment Team</a:t>
          </a:r>
        </a:p>
      </dgm:t>
    </dgm:pt>
    <dgm:pt modelId="{B4973E78-D6FD-4A35-8DE8-A9A160D0A10C}" type="parTrans" cxnId="{7CC1235C-D42F-4852-8004-912D26B4E723}">
      <dgm:prSet/>
      <dgm:spPr/>
      <dgm:t>
        <a:bodyPr/>
        <a:lstStyle/>
        <a:p>
          <a:endParaRPr lang="en-US" sz="1000"/>
        </a:p>
      </dgm:t>
    </dgm:pt>
    <dgm:pt modelId="{6A018654-B82D-4785-8AB8-E8F80AE041B3}" type="sibTrans" cxnId="{7CC1235C-D42F-4852-8004-912D26B4E723}">
      <dgm:prSet custT="1"/>
      <dgm:spPr>
        <a:solidFill>
          <a:schemeClr val="accent2">
            <a:lumMod val="50000"/>
          </a:schemeClr>
        </a:solidFill>
        <a:ln>
          <a:solidFill>
            <a:schemeClr val="accent2">
              <a:lumMod val="50000"/>
            </a:schemeClr>
          </a:solidFill>
        </a:ln>
      </dgm:spPr>
      <dgm:t>
        <a:bodyPr/>
        <a:lstStyle/>
        <a:p>
          <a:endParaRPr lang="en-US" sz="1000"/>
        </a:p>
      </dgm:t>
    </dgm:pt>
    <dgm:pt modelId="{ADAF3B54-10F5-4693-B7BC-C39CC609294F}" type="pres">
      <dgm:prSet presAssocID="{946A211C-AC7F-4D93-8A43-5933CAF77589}" presName="outerComposite" presStyleCnt="0">
        <dgm:presLayoutVars>
          <dgm:chMax val="5"/>
          <dgm:dir/>
          <dgm:resizeHandles val="exact"/>
        </dgm:presLayoutVars>
      </dgm:prSet>
      <dgm:spPr/>
      <dgm:t>
        <a:bodyPr/>
        <a:lstStyle/>
        <a:p>
          <a:endParaRPr lang="en-US"/>
        </a:p>
      </dgm:t>
    </dgm:pt>
    <dgm:pt modelId="{5F3E8F0D-716E-4F83-9D11-EE71F9928DD8}" type="pres">
      <dgm:prSet presAssocID="{946A211C-AC7F-4D93-8A43-5933CAF77589}" presName="dummyMaxCanvas" presStyleCnt="0">
        <dgm:presLayoutVars/>
      </dgm:prSet>
      <dgm:spPr/>
    </dgm:pt>
    <dgm:pt modelId="{96ABF9DC-D626-4FC6-AFF8-45E237AA0B05}" type="pres">
      <dgm:prSet presAssocID="{946A211C-AC7F-4D93-8A43-5933CAF77589}" presName="FiveNodes_1" presStyleLbl="node1" presStyleIdx="0" presStyleCnt="5" custScaleY="93650">
        <dgm:presLayoutVars>
          <dgm:bulletEnabled val="1"/>
        </dgm:presLayoutVars>
      </dgm:prSet>
      <dgm:spPr/>
      <dgm:t>
        <a:bodyPr/>
        <a:lstStyle/>
        <a:p>
          <a:endParaRPr lang="en-US"/>
        </a:p>
      </dgm:t>
    </dgm:pt>
    <dgm:pt modelId="{55C8E5AD-0E30-443C-A7D4-27CC4135A4EB}" type="pres">
      <dgm:prSet presAssocID="{946A211C-AC7F-4D93-8A43-5933CAF77589}" presName="FiveNodes_2" presStyleLbl="node1" presStyleIdx="1" presStyleCnt="5" custScaleY="93650">
        <dgm:presLayoutVars>
          <dgm:bulletEnabled val="1"/>
        </dgm:presLayoutVars>
      </dgm:prSet>
      <dgm:spPr/>
      <dgm:t>
        <a:bodyPr/>
        <a:lstStyle/>
        <a:p>
          <a:endParaRPr lang="en-US"/>
        </a:p>
      </dgm:t>
    </dgm:pt>
    <dgm:pt modelId="{5238ACA9-F8EE-473A-AA5C-C6A76E40AD68}" type="pres">
      <dgm:prSet presAssocID="{946A211C-AC7F-4D93-8A43-5933CAF77589}" presName="FiveNodes_3" presStyleLbl="node1" presStyleIdx="2" presStyleCnt="5" custScaleY="93650">
        <dgm:presLayoutVars>
          <dgm:bulletEnabled val="1"/>
        </dgm:presLayoutVars>
      </dgm:prSet>
      <dgm:spPr/>
      <dgm:t>
        <a:bodyPr/>
        <a:lstStyle/>
        <a:p>
          <a:endParaRPr lang="en-US"/>
        </a:p>
      </dgm:t>
    </dgm:pt>
    <dgm:pt modelId="{A90FAD49-6907-424C-A4F8-B8A5B50DFC83}" type="pres">
      <dgm:prSet presAssocID="{946A211C-AC7F-4D93-8A43-5933CAF77589}" presName="FiveNodes_4" presStyleLbl="node1" presStyleIdx="3" presStyleCnt="5" custScaleY="93650">
        <dgm:presLayoutVars>
          <dgm:bulletEnabled val="1"/>
        </dgm:presLayoutVars>
      </dgm:prSet>
      <dgm:spPr/>
      <dgm:t>
        <a:bodyPr/>
        <a:lstStyle/>
        <a:p>
          <a:endParaRPr lang="en-US"/>
        </a:p>
      </dgm:t>
    </dgm:pt>
    <dgm:pt modelId="{D3FBBA5B-406D-48A9-BF72-237F56072D38}" type="pres">
      <dgm:prSet presAssocID="{946A211C-AC7F-4D93-8A43-5933CAF77589}" presName="FiveNodes_5" presStyleLbl="node1" presStyleIdx="4" presStyleCnt="5" custScaleY="93650">
        <dgm:presLayoutVars>
          <dgm:bulletEnabled val="1"/>
        </dgm:presLayoutVars>
      </dgm:prSet>
      <dgm:spPr/>
      <dgm:t>
        <a:bodyPr/>
        <a:lstStyle/>
        <a:p>
          <a:endParaRPr lang="en-US"/>
        </a:p>
      </dgm:t>
    </dgm:pt>
    <dgm:pt modelId="{3BC8575B-3978-4157-8160-4506A5D0425D}" type="pres">
      <dgm:prSet presAssocID="{946A211C-AC7F-4D93-8A43-5933CAF77589}" presName="FiveConn_1-2" presStyleLbl="fgAccFollowNode1" presStyleIdx="0" presStyleCnt="4">
        <dgm:presLayoutVars>
          <dgm:bulletEnabled val="1"/>
        </dgm:presLayoutVars>
      </dgm:prSet>
      <dgm:spPr/>
      <dgm:t>
        <a:bodyPr/>
        <a:lstStyle/>
        <a:p>
          <a:endParaRPr lang="en-US"/>
        </a:p>
      </dgm:t>
    </dgm:pt>
    <dgm:pt modelId="{35376199-C835-4EDB-81B3-7E4AF99010CD}" type="pres">
      <dgm:prSet presAssocID="{946A211C-AC7F-4D93-8A43-5933CAF77589}" presName="FiveConn_2-3" presStyleLbl="fgAccFollowNode1" presStyleIdx="1" presStyleCnt="4">
        <dgm:presLayoutVars>
          <dgm:bulletEnabled val="1"/>
        </dgm:presLayoutVars>
      </dgm:prSet>
      <dgm:spPr/>
      <dgm:t>
        <a:bodyPr/>
        <a:lstStyle/>
        <a:p>
          <a:endParaRPr lang="en-US"/>
        </a:p>
      </dgm:t>
    </dgm:pt>
    <dgm:pt modelId="{F00303F6-F748-462D-B69A-57E868D97144}" type="pres">
      <dgm:prSet presAssocID="{946A211C-AC7F-4D93-8A43-5933CAF77589}" presName="FiveConn_3-4" presStyleLbl="fgAccFollowNode1" presStyleIdx="2" presStyleCnt="4">
        <dgm:presLayoutVars>
          <dgm:bulletEnabled val="1"/>
        </dgm:presLayoutVars>
      </dgm:prSet>
      <dgm:spPr/>
      <dgm:t>
        <a:bodyPr/>
        <a:lstStyle/>
        <a:p>
          <a:endParaRPr lang="en-US"/>
        </a:p>
      </dgm:t>
    </dgm:pt>
    <dgm:pt modelId="{42EE5668-9C5B-460D-8272-9D6D9D51D4C4}" type="pres">
      <dgm:prSet presAssocID="{946A211C-AC7F-4D93-8A43-5933CAF77589}" presName="FiveConn_4-5" presStyleLbl="fgAccFollowNode1" presStyleIdx="3" presStyleCnt="4" custScaleX="100853" custScaleY="100853" custLinFactNeighborX="-7227" custLinFactNeighborY="2910">
        <dgm:presLayoutVars>
          <dgm:bulletEnabled val="1"/>
        </dgm:presLayoutVars>
      </dgm:prSet>
      <dgm:spPr/>
      <dgm:t>
        <a:bodyPr/>
        <a:lstStyle/>
        <a:p>
          <a:endParaRPr lang="en-US"/>
        </a:p>
      </dgm:t>
    </dgm:pt>
    <dgm:pt modelId="{6F811935-388A-4CFB-80E9-3004063752FE}" type="pres">
      <dgm:prSet presAssocID="{946A211C-AC7F-4D93-8A43-5933CAF77589}" presName="FiveNodes_1_text" presStyleLbl="node1" presStyleIdx="4" presStyleCnt="5">
        <dgm:presLayoutVars>
          <dgm:bulletEnabled val="1"/>
        </dgm:presLayoutVars>
      </dgm:prSet>
      <dgm:spPr/>
      <dgm:t>
        <a:bodyPr/>
        <a:lstStyle/>
        <a:p>
          <a:endParaRPr lang="en-US"/>
        </a:p>
      </dgm:t>
    </dgm:pt>
    <dgm:pt modelId="{4C0360B1-962E-47BA-B573-8B4563436DAA}" type="pres">
      <dgm:prSet presAssocID="{946A211C-AC7F-4D93-8A43-5933CAF77589}" presName="FiveNodes_2_text" presStyleLbl="node1" presStyleIdx="4" presStyleCnt="5">
        <dgm:presLayoutVars>
          <dgm:bulletEnabled val="1"/>
        </dgm:presLayoutVars>
      </dgm:prSet>
      <dgm:spPr/>
      <dgm:t>
        <a:bodyPr/>
        <a:lstStyle/>
        <a:p>
          <a:endParaRPr lang="en-US"/>
        </a:p>
      </dgm:t>
    </dgm:pt>
    <dgm:pt modelId="{BDBAC62D-239E-4709-B618-1111D4100391}" type="pres">
      <dgm:prSet presAssocID="{946A211C-AC7F-4D93-8A43-5933CAF77589}" presName="FiveNodes_3_text" presStyleLbl="node1" presStyleIdx="4" presStyleCnt="5">
        <dgm:presLayoutVars>
          <dgm:bulletEnabled val="1"/>
        </dgm:presLayoutVars>
      </dgm:prSet>
      <dgm:spPr/>
      <dgm:t>
        <a:bodyPr/>
        <a:lstStyle/>
        <a:p>
          <a:endParaRPr lang="en-US"/>
        </a:p>
      </dgm:t>
    </dgm:pt>
    <dgm:pt modelId="{1C0E76EB-2E71-42FD-9715-0EC40C77B120}" type="pres">
      <dgm:prSet presAssocID="{946A211C-AC7F-4D93-8A43-5933CAF77589}" presName="FiveNodes_4_text" presStyleLbl="node1" presStyleIdx="4" presStyleCnt="5">
        <dgm:presLayoutVars>
          <dgm:bulletEnabled val="1"/>
        </dgm:presLayoutVars>
      </dgm:prSet>
      <dgm:spPr/>
      <dgm:t>
        <a:bodyPr/>
        <a:lstStyle/>
        <a:p>
          <a:endParaRPr lang="en-US"/>
        </a:p>
      </dgm:t>
    </dgm:pt>
    <dgm:pt modelId="{2BE72586-3FB5-4409-A5A1-EBD6B1FBA641}" type="pres">
      <dgm:prSet presAssocID="{946A211C-AC7F-4D93-8A43-5933CAF77589}" presName="FiveNodes_5_text" presStyleLbl="node1" presStyleIdx="4" presStyleCnt="5">
        <dgm:presLayoutVars>
          <dgm:bulletEnabled val="1"/>
        </dgm:presLayoutVars>
      </dgm:prSet>
      <dgm:spPr/>
      <dgm:t>
        <a:bodyPr/>
        <a:lstStyle/>
        <a:p>
          <a:endParaRPr lang="en-US"/>
        </a:p>
      </dgm:t>
    </dgm:pt>
  </dgm:ptLst>
  <dgm:cxnLst>
    <dgm:cxn modelId="{929C253B-FA30-4AA3-95E1-8B88BC0A2F0B}" srcId="{946A211C-AC7F-4D93-8A43-5933CAF77589}" destId="{9A3C7DDD-4E73-4F28-83EF-BE32ED4D9587}" srcOrd="1" destOrd="0" parTransId="{C1ED6CB3-93EA-4CCA-9269-57557D265BE7}" sibTransId="{4B68376B-1144-46AE-A69A-7CCEBE3230E7}"/>
    <dgm:cxn modelId="{97BE8673-B393-4708-BFA2-B42F22E52257}" type="presOf" srcId="{9A3C7DDD-4E73-4F28-83EF-BE32ED4D9587}" destId="{4C0360B1-962E-47BA-B573-8B4563436DAA}" srcOrd="1" destOrd="0" presId="urn:microsoft.com/office/officeart/2005/8/layout/vProcess5"/>
    <dgm:cxn modelId="{61631FE7-ACB4-42B4-9DB1-B02ED55B6812}" type="presOf" srcId="{26E1932E-435E-4235-887F-D64B295A500B}" destId="{D3FBBA5B-406D-48A9-BF72-237F56072D38}" srcOrd="0" destOrd="0" presId="urn:microsoft.com/office/officeart/2005/8/layout/vProcess5"/>
    <dgm:cxn modelId="{A4C19213-AA7E-45BA-98B9-C6A6EE6BB1B3}" type="presOf" srcId="{765572A9-1CD4-436E-8999-A7C1702B2862}" destId="{BDBAC62D-239E-4709-B618-1111D4100391}" srcOrd="1" destOrd="0" presId="urn:microsoft.com/office/officeart/2005/8/layout/vProcess5"/>
    <dgm:cxn modelId="{B3C714FB-00B5-44DF-AC37-4C8261E6DB28}" srcId="{946A211C-AC7F-4D93-8A43-5933CAF77589}" destId="{B830A85D-7DA6-41C7-97CC-B019912190FB}" srcOrd="3" destOrd="0" parTransId="{4DF123BB-96D7-486D-9AB0-599121C901C1}" sibTransId="{92AF4321-DDAC-45C7-A8B3-5C153DF169B5}"/>
    <dgm:cxn modelId="{1A0B9D60-089C-4C59-BD94-2304994B4B69}" type="presOf" srcId="{4B68376B-1144-46AE-A69A-7CCEBE3230E7}" destId="{35376199-C835-4EDB-81B3-7E4AF99010CD}" srcOrd="0" destOrd="0" presId="urn:microsoft.com/office/officeart/2005/8/layout/vProcess5"/>
    <dgm:cxn modelId="{DA6491DD-4316-4D72-9174-3A9B05222C76}" type="presOf" srcId="{765572A9-1CD4-436E-8999-A7C1702B2862}" destId="{5238ACA9-F8EE-473A-AA5C-C6A76E40AD68}" srcOrd="0" destOrd="0" presId="urn:microsoft.com/office/officeart/2005/8/layout/vProcess5"/>
    <dgm:cxn modelId="{D506EBDE-C4C9-4DC3-A7B5-565AE526F2F1}" type="presOf" srcId="{9A3C7DDD-4E73-4F28-83EF-BE32ED4D9587}" destId="{55C8E5AD-0E30-443C-A7D4-27CC4135A4EB}" srcOrd="0" destOrd="0" presId="urn:microsoft.com/office/officeart/2005/8/layout/vProcess5"/>
    <dgm:cxn modelId="{29EFD0B7-6452-442C-A6A1-AD0EF0F6517C}" type="presOf" srcId="{6A018654-B82D-4785-8AB8-E8F80AE041B3}" destId="{3BC8575B-3978-4157-8160-4506A5D0425D}" srcOrd="0" destOrd="0" presId="urn:microsoft.com/office/officeart/2005/8/layout/vProcess5"/>
    <dgm:cxn modelId="{F3E2AD97-5FE8-47AD-B1B7-89CFB50AA8D9}" type="presOf" srcId="{4D7C64E0-C055-4A0A-B1D9-0E8FB17F7EDA}" destId="{F00303F6-F748-462D-B69A-57E868D97144}" srcOrd="0" destOrd="0" presId="urn:microsoft.com/office/officeart/2005/8/layout/vProcess5"/>
    <dgm:cxn modelId="{41B7A32B-EB04-4336-BB62-2C3A584B64DF}" type="presOf" srcId="{26E1932E-435E-4235-887F-D64B295A500B}" destId="{2BE72586-3FB5-4409-A5A1-EBD6B1FBA641}" srcOrd="1" destOrd="0" presId="urn:microsoft.com/office/officeart/2005/8/layout/vProcess5"/>
    <dgm:cxn modelId="{7CC1235C-D42F-4852-8004-912D26B4E723}" srcId="{946A211C-AC7F-4D93-8A43-5933CAF77589}" destId="{0D0700CA-DC1F-4B1B-A94F-D3963B35470D}" srcOrd="0" destOrd="0" parTransId="{B4973E78-D6FD-4A35-8DE8-A9A160D0A10C}" sibTransId="{6A018654-B82D-4785-8AB8-E8F80AE041B3}"/>
    <dgm:cxn modelId="{9BEF35EE-A7DD-4963-B12E-03CBB41B8CBA}" type="presOf" srcId="{B830A85D-7DA6-41C7-97CC-B019912190FB}" destId="{1C0E76EB-2E71-42FD-9715-0EC40C77B120}" srcOrd="1" destOrd="0" presId="urn:microsoft.com/office/officeart/2005/8/layout/vProcess5"/>
    <dgm:cxn modelId="{8B44188F-930C-4E59-ACE2-AF0532EF9339}" type="presOf" srcId="{B830A85D-7DA6-41C7-97CC-B019912190FB}" destId="{A90FAD49-6907-424C-A4F8-B8A5B50DFC83}" srcOrd="0" destOrd="0" presId="urn:microsoft.com/office/officeart/2005/8/layout/vProcess5"/>
    <dgm:cxn modelId="{DACC5EF4-5FE1-4D3F-9497-ED5F7EB9E3E2}" type="presOf" srcId="{0D0700CA-DC1F-4B1B-A94F-D3963B35470D}" destId="{6F811935-388A-4CFB-80E9-3004063752FE}" srcOrd="1" destOrd="0" presId="urn:microsoft.com/office/officeart/2005/8/layout/vProcess5"/>
    <dgm:cxn modelId="{B50AB34F-732C-4ED7-B326-38D531ED7EDE}" type="presOf" srcId="{92AF4321-DDAC-45C7-A8B3-5C153DF169B5}" destId="{42EE5668-9C5B-460D-8272-9D6D9D51D4C4}" srcOrd="0" destOrd="0" presId="urn:microsoft.com/office/officeart/2005/8/layout/vProcess5"/>
    <dgm:cxn modelId="{57047FC2-D77C-41B4-ADC3-6CEE20F57F58}" srcId="{946A211C-AC7F-4D93-8A43-5933CAF77589}" destId="{765572A9-1CD4-436E-8999-A7C1702B2862}" srcOrd="2" destOrd="0" parTransId="{1B0097BE-D1DE-4459-BCD1-E7E57C8EBC0B}" sibTransId="{4D7C64E0-C055-4A0A-B1D9-0E8FB17F7EDA}"/>
    <dgm:cxn modelId="{BF27DB54-1CE1-408B-B15D-C8D0D059E7F5}" type="presOf" srcId="{0D0700CA-DC1F-4B1B-A94F-D3963B35470D}" destId="{96ABF9DC-D626-4FC6-AFF8-45E237AA0B05}" srcOrd="0" destOrd="0" presId="urn:microsoft.com/office/officeart/2005/8/layout/vProcess5"/>
    <dgm:cxn modelId="{9C015CB0-D451-46D8-9719-22B5E1D51325}" srcId="{946A211C-AC7F-4D93-8A43-5933CAF77589}" destId="{26E1932E-435E-4235-887F-D64B295A500B}" srcOrd="4" destOrd="0" parTransId="{33644437-E33B-433F-BEEB-ADA904A6D113}" sibTransId="{DDFFA8A6-0AAE-4996-88FC-9D1A23A936BC}"/>
    <dgm:cxn modelId="{03E8475F-4138-4E48-8658-B5323D861167}" type="presOf" srcId="{946A211C-AC7F-4D93-8A43-5933CAF77589}" destId="{ADAF3B54-10F5-4693-B7BC-C39CC609294F}" srcOrd="0" destOrd="0" presId="urn:microsoft.com/office/officeart/2005/8/layout/vProcess5"/>
    <dgm:cxn modelId="{E2D87915-6EAE-4F98-A044-3DB91A39CD62}" type="presParOf" srcId="{ADAF3B54-10F5-4693-B7BC-C39CC609294F}" destId="{5F3E8F0D-716E-4F83-9D11-EE71F9928DD8}" srcOrd="0" destOrd="0" presId="urn:microsoft.com/office/officeart/2005/8/layout/vProcess5"/>
    <dgm:cxn modelId="{3CC79789-929A-4280-9935-31D9AE90D838}" type="presParOf" srcId="{ADAF3B54-10F5-4693-B7BC-C39CC609294F}" destId="{96ABF9DC-D626-4FC6-AFF8-45E237AA0B05}" srcOrd="1" destOrd="0" presId="urn:microsoft.com/office/officeart/2005/8/layout/vProcess5"/>
    <dgm:cxn modelId="{E13B175E-99BE-4D5C-9AB4-5100C02FE795}" type="presParOf" srcId="{ADAF3B54-10F5-4693-B7BC-C39CC609294F}" destId="{55C8E5AD-0E30-443C-A7D4-27CC4135A4EB}" srcOrd="2" destOrd="0" presId="urn:microsoft.com/office/officeart/2005/8/layout/vProcess5"/>
    <dgm:cxn modelId="{80B1EA00-8B1C-40D2-B8F4-E236BB20DEB8}" type="presParOf" srcId="{ADAF3B54-10F5-4693-B7BC-C39CC609294F}" destId="{5238ACA9-F8EE-473A-AA5C-C6A76E40AD68}" srcOrd="3" destOrd="0" presId="urn:microsoft.com/office/officeart/2005/8/layout/vProcess5"/>
    <dgm:cxn modelId="{5C74D719-824E-4046-B49A-55815C7E9464}" type="presParOf" srcId="{ADAF3B54-10F5-4693-B7BC-C39CC609294F}" destId="{A90FAD49-6907-424C-A4F8-B8A5B50DFC83}" srcOrd="4" destOrd="0" presId="urn:microsoft.com/office/officeart/2005/8/layout/vProcess5"/>
    <dgm:cxn modelId="{A4807352-7008-41A9-A832-51508568444B}" type="presParOf" srcId="{ADAF3B54-10F5-4693-B7BC-C39CC609294F}" destId="{D3FBBA5B-406D-48A9-BF72-237F56072D38}" srcOrd="5" destOrd="0" presId="urn:microsoft.com/office/officeart/2005/8/layout/vProcess5"/>
    <dgm:cxn modelId="{06C045CD-8BB6-4EF0-B4CA-9BB7A54F47F9}" type="presParOf" srcId="{ADAF3B54-10F5-4693-B7BC-C39CC609294F}" destId="{3BC8575B-3978-4157-8160-4506A5D0425D}" srcOrd="6" destOrd="0" presId="urn:microsoft.com/office/officeart/2005/8/layout/vProcess5"/>
    <dgm:cxn modelId="{4459E5D4-B707-4A1D-A88A-35994E585658}" type="presParOf" srcId="{ADAF3B54-10F5-4693-B7BC-C39CC609294F}" destId="{35376199-C835-4EDB-81B3-7E4AF99010CD}" srcOrd="7" destOrd="0" presId="urn:microsoft.com/office/officeart/2005/8/layout/vProcess5"/>
    <dgm:cxn modelId="{F97D208F-2BC7-4CDE-AC6D-E52164FB3380}" type="presParOf" srcId="{ADAF3B54-10F5-4693-B7BC-C39CC609294F}" destId="{F00303F6-F748-462D-B69A-57E868D97144}" srcOrd="8" destOrd="0" presId="urn:microsoft.com/office/officeart/2005/8/layout/vProcess5"/>
    <dgm:cxn modelId="{920D6CCA-C812-4115-8A9E-85BE44D718B1}" type="presParOf" srcId="{ADAF3B54-10F5-4693-B7BC-C39CC609294F}" destId="{42EE5668-9C5B-460D-8272-9D6D9D51D4C4}" srcOrd="9" destOrd="0" presId="urn:microsoft.com/office/officeart/2005/8/layout/vProcess5"/>
    <dgm:cxn modelId="{B5B6A999-C4A1-41F0-8CF4-DCCCB4AB759B}" type="presParOf" srcId="{ADAF3B54-10F5-4693-B7BC-C39CC609294F}" destId="{6F811935-388A-4CFB-80E9-3004063752FE}" srcOrd="10" destOrd="0" presId="urn:microsoft.com/office/officeart/2005/8/layout/vProcess5"/>
    <dgm:cxn modelId="{F2E2F0CF-49BD-464B-B9A5-25B3423483BF}" type="presParOf" srcId="{ADAF3B54-10F5-4693-B7BC-C39CC609294F}" destId="{4C0360B1-962E-47BA-B573-8B4563436DAA}" srcOrd="11" destOrd="0" presId="urn:microsoft.com/office/officeart/2005/8/layout/vProcess5"/>
    <dgm:cxn modelId="{FC430023-DF6E-4068-AFEF-A0BF5D4AEF22}" type="presParOf" srcId="{ADAF3B54-10F5-4693-B7BC-C39CC609294F}" destId="{BDBAC62D-239E-4709-B618-1111D4100391}" srcOrd="12" destOrd="0" presId="urn:microsoft.com/office/officeart/2005/8/layout/vProcess5"/>
    <dgm:cxn modelId="{2E0BDE41-2942-481B-9D0F-4A4618CA4F8D}" type="presParOf" srcId="{ADAF3B54-10F5-4693-B7BC-C39CC609294F}" destId="{1C0E76EB-2E71-42FD-9715-0EC40C77B120}" srcOrd="13" destOrd="0" presId="urn:microsoft.com/office/officeart/2005/8/layout/vProcess5"/>
    <dgm:cxn modelId="{FEEB3693-C684-4B8C-9A94-9248E27EFEB0}" type="presParOf" srcId="{ADAF3B54-10F5-4693-B7BC-C39CC609294F}" destId="{2BE72586-3FB5-4409-A5A1-EBD6B1FBA641}"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6A211C-AC7F-4D93-8A43-5933CAF77589}"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9A3C7DDD-4E73-4F28-83EF-BE32ED4D9587}">
      <dgm:prSet phldrT="[Text]" custT="1"/>
      <dgm:spPr>
        <a:xfrm>
          <a:off x="346467" y="301460"/>
          <a:ext cx="4639646" cy="241165"/>
        </a:xfr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9525" cap="flat" cmpd="sng" algn="ctr">
          <a:solidFill>
            <a:schemeClr val="tx1">
              <a:lumMod val="65000"/>
              <a:lumOff val="35000"/>
            </a:schemeClr>
          </a:solidFill>
          <a:prstDash val="solid"/>
          <a:miter lim="800000"/>
        </a:ln>
        <a:effectLst/>
      </dgm:spPr>
      <dgm:t>
        <a:bodyPr lIns="137160" rIns="0"/>
        <a:lstStyle/>
        <a:p>
          <a:r>
            <a:rPr lang="en-US" sz="1000" b="1">
              <a:ln>
                <a:noFill/>
              </a:ln>
              <a:solidFill>
                <a:sysClr val="windowText" lastClr="000000"/>
              </a:solidFill>
              <a:latin typeface="Cambria" panose="02040503050406030204"/>
              <a:ea typeface="+mn-ea"/>
              <a:cs typeface="+mn-cs"/>
            </a:rPr>
            <a:t>1. Establish Planning Assumptions</a:t>
          </a:r>
        </a:p>
      </dgm:t>
    </dgm:pt>
    <dgm:pt modelId="{C1ED6CB3-93EA-4CCA-9269-57557D265BE7}" type="parTrans" cxnId="{929C253B-FA30-4AA3-95E1-8B88BC0A2F0B}">
      <dgm:prSet/>
      <dgm:spPr/>
      <dgm:t>
        <a:bodyPr/>
        <a:lstStyle/>
        <a:p>
          <a:endParaRPr lang="en-US" sz="1000"/>
        </a:p>
      </dgm:t>
    </dgm:pt>
    <dgm:pt modelId="{4B68376B-1144-46AE-A69A-7CCEBE3230E7}" type="sibTrans" cxnId="{929C253B-FA30-4AA3-95E1-8B88BC0A2F0B}">
      <dgm:prSet custT="1"/>
      <dgm:spPr>
        <a:xfrm>
          <a:off x="4818727" y="481415"/>
          <a:ext cx="167386" cy="167386"/>
        </a:xfrm>
        <a:solidFill>
          <a:srgbClr val="C0504D">
            <a:lumMod val="50000"/>
          </a:srgbClr>
        </a:solidFill>
        <a:ln w="12700" cap="flat" cmpd="sng" algn="ctr">
          <a:solidFill>
            <a:srgbClr val="C0504D">
              <a:lumMod val="50000"/>
            </a:srgbClr>
          </a:solidFill>
          <a:prstDash val="solid"/>
          <a:miter lim="800000"/>
        </a:ln>
        <a:effectLst/>
      </dgm:spPr>
      <dgm:t>
        <a:bodyPr/>
        <a:lstStyle/>
        <a:p>
          <a:endParaRPr lang="en-US" sz="1000">
            <a:solidFill>
              <a:sysClr val="windowText" lastClr="000000">
                <a:hueOff val="0"/>
                <a:satOff val="0"/>
                <a:lumOff val="0"/>
                <a:alphaOff val="0"/>
              </a:sysClr>
            </a:solidFill>
            <a:latin typeface="Calibri" panose="020F0502020204030204"/>
            <a:ea typeface="+mn-ea"/>
            <a:cs typeface="+mn-cs"/>
          </a:endParaRPr>
        </a:p>
      </dgm:t>
    </dgm:pt>
    <dgm:pt modelId="{6515B524-15AA-4CE7-8755-6E489315F104}">
      <dgm:prSet phldrT="[Text]" custT="1"/>
      <dgm:spPr>
        <a:xfrm>
          <a:off x="346467" y="301460"/>
          <a:ext cx="4639646" cy="241165"/>
        </a:xfr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6350" cap="flat" cmpd="sng" algn="ctr">
          <a:solidFill>
            <a:schemeClr val="tx1">
              <a:lumMod val="65000"/>
              <a:lumOff val="35000"/>
            </a:schemeClr>
          </a:solidFill>
          <a:prstDash val="solid"/>
          <a:miter lim="800000"/>
        </a:ln>
        <a:effectLst/>
      </dgm:spPr>
      <dgm:t>
        <a:bodyPr lIns="137160" rIns="0"/>
        <a:lstStyle/>
        <a:p>
          <a:r>
            <a:rPr lang="en-US" sz="1000" b="1">
              <a:ln>
                <a:noFill/>
              </a:ln>
              <a:solidFill>
                <a:sysClr val="windowText" lastClr="000000"/>
              </a:solidFill>
              <a:latin typeface="Cambria" panose="02040503050406030204"/>
              <a:ea typeface="+mn-ea"/>
              <a:cs typeface="+mn-cs"/>
            </a:rPr>
            <a:t>2. Determine Resources Essential to the Faciliy's Operation</a:t>
          </a:r>
        </a:p>
      </dgm:t>
    </dgm:pt>
    <dgm:pt modelId="{EF274348-E761-4A83-A8A0-9D82A7000B52}" type="parTrans" cxnId="{77B431A3-A8FA-423F-A7F4-4AB0EAE0CA15}">
      <dgm:prSet/>
      <dgm:spPr/>
      <dgm:t>
        <a:bodyPr/>
        <a:lstStyle/>
        <a:p>
          <a:endParaRPr lang="en-US" sz="1000"/>
        </a:p>
      </dgm:t>
    </dgm:pt>
    <dgm:pt modelId="{B4252A17-5C1F-4A3A-8FDE-D918697EBAA5}" type="sibTrans" cxnId="{77B431A3-A8FA-423F-A7F4-4AB0EAE0CA15}">
      <dgm:prSet custT="1"/>
      <dgm:spPr>
        <a:solidFill>
          <a:schemeClr val="accent2">
            <a:lumMod val="50000"/>
            <a:alpha val="90000"/>
          </a:schemeClr>
        </a:solidFill>
        <a:ln>
          <a:solidFill>
            <a:schemeClr val="accent2">
              <a:lumMod val="50000"/>
              <a:alpha val="90000"/>
            </a:schemeClr>
          </a:solidFill>
        </a:ln>
      </dgm:spPr>
      <dgm:t>
        <a:bodyPr/>
        <a:lstStyle/>
        <a:p>
          <a:endParaRPr lang="en-US" sz="1000"/>
        </a:p>
      </dgm:t>
    </dgm:pt>
    <dgm:pt modelId="{5332A5B5-DAB4-4135-829F-9B33FCAAE72D}">
      <dgm:prSet phldrT="[Text]" custT="1"/>
      <dgm:spPr>
        <a:xfrm>
          <a:off x="346467" y="301460"/>
          <a:ext cx="4639646" cy="241165"/>
        </a:xfr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9525" cap="flat" cmpd="sng" algn="ctr">
          <a:solidFill>
            <a:schemeClr val="tx1">
              <a:lumMod val="65000"/>
              <a:lumOff val="35000"/>
            </a:schemeClr>
          </a:solidFill>
          <a:prstDash val="solid"/>
          <a:miter lim="800000"/>
        </a:ln>
        <a:effectLst/>
      </dgm:spPr>
      <dgm:t>
        <a:bodyPr lIns="137160" rIns="0"/>
        <a:lstStyle/>
        <a:p>
          <a:r>
            <a:rPr lang="en-US" sz="1000" b="1">
              <a:ln>
                <a:noFill/>
              </a:ln>
              <a:solidFill>
                <a:sysClr val="windowText" lastClr="000000"/>
              </a:solidFill>
              <a:latin typeface="Cambria" panose="02040503050406030204"/>
              <a:ea typeface="+mn-ea"/>
              <a:cs typeface="+mn-cs"/>
            </a:rPr>
            <a:t>3. Determine Sustainability Period of Resources</a:t>
          </a:r>
        </a:p>
      </dgm:t>
    </dgm:pt>
    <dgm:pt modelId="{01A61AC3-604D-4351-9442-5AA00B83048C}" type="parTrans" cxnId="{5BC707CE-2E2E-42F1-90EC-673B46D4800B}">
      <dgm:prSet/>
      <dgm:spPr/>
      <dgm:t>
        <a:bodyPr/>
        <a:lstStyle/>
        <a:p>
          <a:endParaRPr lang="en-US" sz="1000"/>
        </a:p>
      </dgm:t>
    </dgm:pt>
    <dgm:pt modelId="{1078815D-8894-4A7F-998A-B453C54EF428}" type="sibTrans" cxnId="{5BC707CE-2E2E-42F1-90EC-673B46D4800B}">
      <dgm:prSet custT="1"/>
      <dgm:spPr>
        <a:solidFill>
          <a:srgbClr val="C0504D">
            <a:lumMod val="50000"/>
          </a:srgbClr>
        </a:solidFill>
        <a:ln w="12700" cap="flat" cmpd="sng" algn="ctr">
          <a:solidFill>
            <a:srgbClr val="C0504D">
              <a:lumMod val="50000"/>
            </a:srgbClr>
          </a:solidFill>
          <a:prstDash val="solid"/>
          <a:miter lim="800000"/>
        </a:ln>
        <a:effectLst/>
      </dgm:spPr>
      <dgm:t>
        <a:bodyPr/>
        <a:lstStyle/>
        <a:p>
          <a:endParaRPr lang="en-US" sz="1000"/>
        </a:p>
      </dgm:t>
    </dgm:pt>
    <dgm:pt modelId="{3AA7B475-AA09-41EC-80BF-8A1F1AAA8CC4}">
      <dgm:prSet phldrT="[Text]" custT="1"/>
      <dgm:spPr>
        <a:xfrm>
          <a:off x="346467" y="301460"/>
          <a:ext cx="4639646" cy="241165"/>
        </a:xfr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9525" cap="flat" cmpd="sng" algn="ctr">
          <a:solidFill>
            <a:schemeClr val="tx1">
              <a:lumMod val="65000"/>
              <a:lumOff val="35000"/>
            </a:schemeClr>
          </a:solidFill>
          <a:prstDash val="solid"/>
          <a:miter lim="800000"/>
        </a:ln>
        <a:effectLst/>
      </dgm:spPr>
      <dgm:t>
        <a:bodyPr lIns="137160" rIns="0"/>
        <a:lstStyle/>
        <a:p>
          <a:r>
            <a:rPr lang="en-US" sz="1000" b="1">
              <a:ln>
                <a:noFill/>
              </a:ln>
              <a:solidFill>
                <a:sysClr val="windowText" lastClr="000000"/>
              </a:solidFill>
              <a:latin typeface="Cambria" panose="02040503050406030204"/>
              <a:ea typeface="+mn-ea"/>
              <a:cs typeface="+mn-cs"/>
            </a:rPr>
            <a:t>4. Color Code 96 Hour Operational Chart</a:t>
          </a:r>
        </a:p>
      </dgm:t>
    </dgm:pt>
    <dgm:pt modelId="{9A694F05-DF6E-4BAE-AC56-9312C1D96FD1}" type="parTrans" cxnId="{C22FDA64-FA53-4F5C-86E2-AC63D07B3C6D}">
      <dgm:prSet/>
      <dgm:spPr/>
      <dgm:t>
        <a:bodyPr/>
        <a:lstStyle/>
        <a:p>
          <a:endParaRPr lang="en-US" sz="1000"/>
        </a:p>
      </dgm:t>
    </dgm:pt>
    <dgm:pt modelId="{23630048-AC20-4F61-8046-33E47A9F19E8}" type="sibTrans" cxnId="{C22FDA64-FA53-4F5C-86E2-AC63D07B3C6D}">
      <dgm:prSet custT="1"/>
      <dgm:spPr>
        <a:solidFill>
          <a:srgbClr val="C0504D">
            <a:lumMod val="50000"/>
          </a:srgbClr>
        </a:solidFill>
        <a:ln w="12700" cap="flat" cmpd="sng" algn="ctr">
          <a:solidFill>
            <a:srgbClr val="C0504D">
              <a:lumMod val="50000"/>
            </a:srgbClr>
          </a:solidFill>
          <a:prstDash val="solid"/>
          <a:miter lim="800000"/>
        </a:ln>
        <a:effectLst/>
      </dgm:spPr>
      <dgm:t>
        <a:bodyPr/>
        <a:lstStyle/>
        <a:p>
          <a:endParaRPr lang="en-US" sz="1000"/>
        </a:p>
      </dgm:t>
    </dgm:pt>
    <dgm:pt modelId="{E0D93982-8404-47F9-BB62-0A665287F14A}">
      <dgm:prSet phldrT="[Text]" custT="1"/>
      <dgm:spPr>
        <a:xfrm>
          <a:off x="346467" y="301460"/>
          <a:ext cx="4639646" cy="241165"/>
        </a:xfr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6350" cap="flat" cmpd="sng" algn="ctr">
          <a:solidFill>
            <a:schemeClr val="tx1">
              <a:lumMod val="75000"/>
              <a:lumOff val="25000"/>
            </a:schemeClr>
          </a:solidFill>
          <a:prstDash val="solid"/>
          <a:miter lim="800000"/>
        </a:ln>
        <a:effectLst/>
      </dgm:spPr>
      <dgm:t>
        <a:bodyPr lIns="137160" rIns="0"/>
        <a:lstStyle/>
        <a:p>
          <a:r>
            <a:rPr lang="en-US" sz="1000" b="1">
              <a:ln>
                <a:noFill/>
              </a:ln>
              <a:solidFill>
                <a:sysClr val="windowText" lastClr="000000"/>
              </a:solidFill>
              <a:latin typeface="Cambria" panose="02040503050406030204"/>
              <a:ea typeface="+mn-ea"/>
              <a:cs typeface="+mn-cs"/>
            </a:rPr>
            <a:t>5. Identify Sustainability Gaps &amp; Mitigation Strategies </a:t>
          </a:r>
        </a:p>
      </dgm:t>
    </dgm:pt>
    <dgm:pt modelId="{DA91C972-B400-4E50-8611-5383F760BB53}" type="parTrans" cxnId="{8FF7017C-553B-43EF-9E6A-F13DA0099499}">
      <dgm:prSet/>
      <dgm:spPr/>
      <dgm:t>
        <a:bodyPr/>
        <a:lstStyle/>
        <a:p>
          <a:endParaRPr lang="en-US" sz="1000"/>
        </a:p>
      </dgm:t>
    </dgm:pt>
    <dgm:pt modelId="{2087FFE5-1771-494A-9FE6-41666B790C41}" type="sibTrans" cxnId="{8FF7017C-553B-43EF-9E6A-F13DA0099499}">
      <dgm:prSet/>
      <dgm:spPr/>
      <dgm:t>
        <a:bodyPr/>
        <a:lstStyle/>
        <a:p>
          <a:endParaRPr lang="en-US" sz="1000"/>
        </a:p>
      </dgm:t>
    </dgm:pt>
    <dgm:pt modelId="{ADAF3B54-10F5-4693-B7BC-C39CC609294F}" type="pres">
      <dgm:prSet presAssocID="{946A211C-AC7F-4D93-8A43-5933CAF77589}" presName="outerComposite" presStyleCnt="0">
        <dgm:presLayoutVars>
          <dgm:chMax val="5"/>
          <dgm:dir/>
          <dgm:resizeHandles val="exact"/>
        </dgm:presLayoutVars>
      </dgm:prSet>
      <dgm:spPr/>
      <dgm:t>
        <a:bodyPr/>
        <a:lstStyle/>
        <a:p>
          <a:endParaRPr lang="en-US"/>
        </a:p>
      </dgm:t>
    </dgm:pt>
    <dgm:pt modelId="{5F3E8F0D-716E-4F83-9D11-EE71F9928DD8}" type="pres">
      <dgm:prSet presAssocID="{946A211C-AC7F-4D93-8A43-5933CAF77589}" presName="dummyMaxCanvas" presStyleCnt="0">
        <dgm:presLayoutVars/>
      </dgm:prSet>
      <dgm:spPr/>
    </dgm:pt>
    <dgm:pt modelId="{96ABF9DC-D626-4FC6-AFF8-45E237AA0B05}" type="pres">
      <dgm:prSet presAssocID="{946A211C-AC7F-4D93-8A43-5933CAF77589}" presName="FiveNodes_1" presStyleLbl="node1" presStyleIdx="0" presStyleCnt="5" custScaleY="102428">
        <dgm:presLayoutVars>
          <dgm:bulletEnabled val="1"/>
        </dgm:presLayoutVars>
      </dgm:prSet>
      <dgm:spPr>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3175" cap="flat" cmpd="sng" algn="ctr">
          <a:solidFill>
            <a:sysClr val="window" lastClr="FFFFFF">
              <a:lumMod val="75000"/>
            </a:sysClr>
          </a:solidFill>
          <a:prstDash val="solid"/>
          <a:miter lim="800000"/>
        </a:ln>
        <a:effectLst/>
      </dgm:spPr>
      <dgm:t>
        <a:bodyPr/>
        <a:lstStyle/>
        <a:p>
          <a:endParaRPr lang="en-US"/>
        </a:p>
      </dgm:t>
    </dgm:pt>
    <dgm:pt modelId="{55C8E5AD-0E30-443C-A7D4-27CC4135A4EB}" type="pres">
      <dgm:prSet presAssocID="{946A211C-AC7F-4D93-8A43-5933CAF77589}" presName="FiveNodes_2" presStyleLbl="node1" presStyleIdx="1" presStyleCnt="5" custScaleY="102428">
        <dgm:presLayoutVars>
          <dgm:bulletEnabled val="1"/>
        </dgm:presLayoutVars>
      </dgm:prSet>
      <dgm:spPr/>
      <dgm:t>
        <a:bodyPr/>
        <a:lstStyle/>
        <a:p>
          <a:endParaRPr lang="en-US"/>
        </a:p>
      </dgm:t>
    </dgm:pt>
    <dgm:pt modelId="{5238ACA9-F8EE-473A-AA5C-C6A76E40AD68}" type="pres">
      <dgm:prSet presAssocID="{946A211C-AC7F-4D93-8A43-5933CAF77589}" presName="FiveNodes_3" presStyleLbl="node1" presStyleIdx="2" presStyleCnt="5" custScaleY="102428">
        <dgm:presLayoutVars>
          <dgm:bulletEnabled val="1"/>
        </dgm:presLayoutVars>
      </dgm:prSet>
      <dgm:spPr>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3175" cap="flat" cmpd="sng" algn="ctr">
          <a:solidFill>
            <a:sysClr val="window" lastClr="FFFFFF">
              <a:lumMod val="75000"/>
            </a:sysClr>
          </a:solidFill>
          <a:prstDash val="solid"/>
          <a:miter lim="800000"/>
        </a:ln>
        <a:effectLst/>
      </dgm:spPr>
      <dgm:t>
        <a:bodyPr/>
        <a:lstStyle/>
        <a:p>
          <a:endParaRPr lang="en-US"/>
        </a:p>
      </dgm:t>
    </dgm:pt>
    <dgm:pt modelId="{A90FAD49-6907-424C-A4F8-B8A5B50DFC83}" type="pres">
      <dgm:prSet presAssocID="{946A211C-AC7F-4D93-8A43-5933CAF77589}" presName="FiveNodes_4" presStyleLbl="node1" presStyleIdx="3" presStyleCnt="5" custScaleY="102428">
        <dgm:presLayoutVars>
          <dgm:bulletEnabled val="1"/>
        </dgm:presLayoutVars>
      </dgm:prSet>
      <dgm:spPr>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3175" cap="flat" cmpd="sng" algn="ctr">
          <a:solidFill>
            <a:sysClr val="window" lastClr="FFFFFF">
              <a:lumMod val="75000"/>
            </a:sysClr>
          </a:solidFill>
          <a:prstDash val="solid"/>
          <a:miter lim="800000"/>
        </a:ln>
        <a:effectLst/>
      </dgm:spPr>
      <dgm:t>
        <a:bodyPr/>
        <a:lstStyle/>
        <a:p>
          <a:endParaRPr lang="en-US"/>
        </a:p>
      </dgm:t>
    </dgm:pt>
    <dgm:pt modelId="{D3FBBA5B-406D-48A9-BF72-237F56072D38}" type="pres">
      <dgm:prSet presAssocID="{946A211C-AC7F-4D93-8A43-5933CAF77589}" presName="FiveNodes_5" presStyleLbl="node1" presStyleIdx="4" presStyleCnt="5" custScaleY="102428">
        <dgm:presLayoutVars>
          <dgm:bulletEnabled val="1"/>
        </dgm:presLayoutVars>
      </dgm:prSet>
      <dgm:spPr>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3175" cap="flat" cmpd="sng" algn="ctr">
          <a:solidFill>
            <a:sysClr val="window" lastClr="FFFFFF">
              <a:lumMod val="75000"/>
            </a:sysClr>
          </a:solidFill>
          <a:prstDash val="solid"/>
          <a:miter lim="800000"/>
        </a:ln>
        <a:effectLst/>
      </dgm:spPr>
      <dgm:t>
        <a:bodyPr/>
        <a:lstStyle/>
        <a:p>
          <a:endParaRPr lang="en-US"/>
        </a:p>
      </dgm:t>
    </dgm:pt>
    <dgm:pt modelId="{3BC8575B-3978-4157-8160-4506A5D0425D}" type="pres">
      <dgm:prSet presAssocID="{946A211C-AC7F-4D93-8A43-5933CAF77589}" presName="FiveConn_1-2" presStyleLbl="fgAccFollowNode1" presStyleIdx="0" presStyleCnt="4">
        <dgm:presLayoutVars>
          <dgm:bulletEnabled val="1"/>
        </dgm:presLayoutVars>
      </dgm:prSet>
      <dgm:spPr>
        <a:solidFill>
          <a:srgbClr val="C0504D">
            <a:lumMod val="50000"/>
          </a:srgbClr>
        </a:solidFill>
        <a:ln w="12700" cap="flat" cmpd="sng" algn="ctr">
          <a:solidFill>
            <a:srgbClr val="C0504D">
              <a:lumMod val="50000"/>
            </a:srgbClr>
          </a:solidFill>
          <a:prstDash val="solid"/>
          <a:miter lim="800000"/>
        </a:ln>
        <a:effectLst/>
      </dgm:spPr>
      <dgm:t>
        <a:bodyPr/>
        <a:lstStyle/>
        <a:p>
          <a:endParaRPr lang="en-US"/>
        </a:p>
      </dgm:t>
    </dgm:pt>
    <dgm:pt modelId="{35376199-C835-4EDB-81B3-7E4AF99010CD}" type="pres">
      <dgm:prSet presAssocID="{946A211C-AC7F-4D93-8A43-5933CAF77589}" presName="FiveConn_2-3" presStyleLbl="fgAccFollowNode1" presStyleIdx="1" presStyleCnt="4">
        <dgm:presLayoutVars>
          <dgm:bulletEnabled val="1"/>
        </dgm:presLayoutVars>
      </dgm:prSet>
      <dgm:spPr/>
      <dgm:t>
        <a:bodyPr/>
        <a:lstStyle/>
        <a:p>
          <a:endParaRPr lang="en-US"/>
        </a:p>
      </dgm:t>
    </dgm:pt>
    <dgm:pt modelId="{F00303F6-F748-462D-B69A-57E868D97144}" type="pres">
      <dgm:prSet presAssocID="{946A211C-AC7F-4D93-8A43-5933CAF77589}" presName="FiveConn_3-4" presStyleLbl="fgAccFollowNode1" presStyleIdx="2" presStyleCnt="4">
        <dgm:presLayoutVars>
          <dgm:bulletEnabled val="1"/>
        </dgm:presLayoutVars>
      </dgm:prSet>
      <dgm:spPr/>
      <dgm:t>
        <a:bodyPr/>
        <a:lstStyle/>
        <a:p>
          <a:endParaRPr lang="en-US"/>
        </a:p>
      </dgm:t>
    </dgm:pt>
    <dgm:pt modelId="{42EE5668-9C5B-460D-8272-9D6D9D51D4C4}" type="pres">
      <dgm:prSet presAssocID="{946A211C-AC7F-4D93-8A43-5933CAF77589}" presName="FiveConn_4-5" presStyleLbl="fgAccFollowNode1" presStyleIdx="3" presStyleCnt="4" custScaleX="100853" custScaleY="100853" custLinFactNeighborX="-7227" custLinFactNeighborY="2910">
        <dgm:presLayoutVars>
          <dgm:bulletEnabled val="1"/>
        </dgm:presLayoutVars>
      </dgm:prSet>
      <dgm:spPr/>
      <dgm:t>
        <a:bodyPr/>
        <a:lstStyle/>
        <a:p>
          <a:endParaRPr lang="en-US"/>
        </a:p>
      </dgm:t>
    </dgm:pt>
    <dgm:pt modelId="{6F811935-388A-4CFB-80E9-3004063752FE}" type="pres">
      <dgm:prSet presAssocID="{946A211C-AC7F-4D93-8A43-5933CAF77589}" presName="FiveNodes_1_text" presStyleLbl="node1" presStyleIdx="4" presStyleCnt="5">
        <dgm:presLayoutVars>
          <dgm:bulletEnabled val="1"/>
        </dgm:presLayoutVars>
      </dgm:prSet>
      <dgm:spPr/>
      <dgm:t>
        <a:bodyPr/>
        <a:lstStyle/>
        <a:p>
          <a:endParaRPr lang="en-US"/>
        </a:p>
      </dgm:t>
    </dgm:pt>
    <dgm:pt modelId="{4C0360B1-962E-47BA-B573-8B4563436DAA}" type="pres">
      <dgm:prSet presAssocID="{946A211C-AC7F-4D93-8A43-5933CAF77589}" presName="FiveNodes_2_text" presStyleLbl="node1" presStyleIdx="4" presStyleCnt="5">
        <dgm:presLayoutVars>
          <dgm:bulletEnabled val="1"/>
        </dgm:presLayoutVars>
      </dgm:prSet>
      <dgm:spPr/>
      <dgm:t>
        <a:bodyPr/>
        <a:lstStyle/>
        <a:p>
          <a:endParaRPr lang="en-US"/>
        </a:p>
      </dgm:t>
    </dgm:pt>
    <dgm:pt modelId="{BDBAC62D-239E-4709-B618-1111D4100391}" type="pres">
      <dgm:prSet presAssocID="{946A211C-AC7F-4D93-8A43-5933CAF77589}" presName="FiveNodes_3_text" presStyleLbl="node1" presStyleIdx="4" presStyleCnt="5">
        <dgm:presLayoutVars>
          <dgm:bulletEnabled val="1"/>
        </dgm:presLayoutVars>
      </dgm:prSet>
      <dgm:spPr/>
      <dgm:t>
        <a:bodyPr/>
        <a:lstStyle/>
        <a:p>
          <a:endParaRPr lang="en-US"/>
        </a:p>
      </dgm:t>
    </dgm:pt>
    <dgm:pt modelId="{1C0E76EB-2E71-42FD-9715-0EC40C77B120}" type="pres">
      <dgm:prSet presAssocID="{946A211C-AC7F-4D93-8A43-5933CAF77589}" presName="FiveNodes_4_text" presStyleLbl="node1" presStyleIdx="4" presStyleCnt="5">
        <dgm:presLayoutVars>
          <dgm:bulletEnabled val="1"/>
        </dgm:presLayoutVars>
      </dgm:prSet>
      <dgm:spPr/>
      <dgm:t>
        <a:bodyPr/>
        <a:lstStyle/>
        <a:p>
          <a:endParaRPr lang="en-US"/>
        </a:p>
      </dgm:t>
    </dgm:pt>
    <dgm:pt modelId="{2BE72586-3FB5-4409-A5A1-EBD6B1FBA641}" type="pres">
      <dgm:prSet presAssocID="{946A211C-AC7F-4D93-8A43-5933CAF77589}" presName="FiveNodes_5_text" presStyleLbl="node1" presStyleIdx="4" presStyleCnt="5">
        <dgm:presLayoutVars>
          <dgm:bulletEnabled val="1"/>
        </dgm:presLayoutVars>
      </dgm:prSet>
      <dgm:spPr/>
      <dgm:t>
        <a:bodyPr/>
        <a:lstStyle/>
        <a:p>
          <a:endParaRPr lang="en-US"/>
        </a:p>
      </dgm:t>
    </dgm:pt>
  </dgm:ptLst>
  <dgm:cxnLst>
    <dgm:cxn modelId="{929C253B-FA30-4AA3-95E1-8B88BC0A2F0B}" srcId="{946A211C-AC7F-4D93-8A43-5933CAF77589}" destId="{9A3C7DDD-4E73-4F28-83EF-BE32ED4D9587}" srcOrd="0" destOrd="0" parTransId="{C1ED6CB3-93EA-4CCA-9269-57557D265BE7}" sibTransId="{4B68376B-1144-46AE-A69A-7CCEBE3230E7}"/>
    <dgm:cxn modelId="{BD99CE17-8B47-43C6-8C2C-959F4C72E935}" type="presOf" srcId="{5332A5B5-DAB4-4135-829F-9B33FCAAE72D}" destId="{5238ACA9-F8EE-473A-AA5C-C6A76E40AD68}" srcOrd="0" destOrd="0" presId="urn:microsoft.com/office/officeart/2005/8/layout/vProcess5"/>
    <dgm:cxn modelId="{5BC707CE-2E2E-42F1-90EC-673B46D4800B}" srcId="{946A211C-AC7F-4D93-8A43-5933CAF77589}" destId="{5332A5B5-DAB4-4135-829F-9B33FCAAE72D}" srcOrd="2" destOrd="0" parTransId="{01A61AC3-604D-4351-9442-5AA00B83048C}" sibTransId="{1078815D-8894-4A7F-998A-B453C54EF428}"/>
    <dgm:cxn modelId="{E45A1585-FF20-4325-987F-9D8CAD39D192}" type="presOf" srcId="{1078815D-8894-4A7F-998A-B453C54EF428}" destId="{F00303F6-F748-462D-B69A-57E868D97144}" srcOrd="0" destOrd="0" presId="urn:microsoft.com/office/officeart/2005/8/layout/vProcess5"/>
    <dgm:cxn modelId="{856BF868-F2E1-40FA-9869-FDE3BAE149D2}" type="presOf" srcId="{E0D93982-8404-47F9-BB62-0A665287F14A}" destId="{2BE72586-3FB5-4409-A5A1-EBD6B1FBA641}" srcOrd="1" destOrd="0" presId="urn:microsoft.com/office/officeart/2005/8/layout/vProcess5"/>
    <dgm:cxn modelId="{77B431A3-A8FA-423F-A7F4-4AB0EAE0CA15}" srcId="{946A211C-AC7F-4D93-8A43-5933CAF77589}" destId="{6515B524-15AA-4CE7-8755-6E489315F104}" srcOrd="1" destOrd="0" parTransId="{EF274348-E761-4A83-A8A0-9D82A7000B52}" sibTransId="{B4252A17-5C1F-4A3A-8FDE-D918697EBAA5}"/>
    <dgm:cxn modelId="{CA24E908-5B6A-458A-824C-BF120D59552C}" type="presOf" srcId="{3AA7B475-AA09-41EC-80BF-8A1F1AAA8CC4}" destId="{A90FAD49-6907-424C-A4F8-B8A5B50DFC83}" srcOrd="0" destOrd="0" presId="urn:microsoft.com/office/officeart/2005/8/layout/vProcess5"/>
    <dgm:cxn modelId="{2FE8071C-B698-4839-B303-20B7EED6504C}" type="presOf" srcId="{6515B524-15AA-4CE7-8755-6E489315F104}" destId="{4C0360B1-962E-47BA-B573-8B4563436DAA}" srcOrd="1" destOrd="0" presId="urn:microsoft.com/office/officeart/2005/8/layout/vProcess5"/>
    <dgm:cxn modelId="{407E662F-77B5-41C7-98DB-9411AF8669B4}" type="presOf" srcId="{946A211C-AC7F-4D93-8A43-5933CAF77589}" destId="{ADAF3B54-10F5-4693-B7BC-C39CC609294F}" srcOrd="0" destOrd="0" presId="urn:microsoft.com/office/officeart/2005/8/layout/vProcess5"/>
    <dgm:cxn modelId="{8FF7017C-553B-43EF-9E6A-F13DA0099499}" srcId="{946A211C-AC7F-4D93-8A43-5933CAF77589}" destId="{E0D93982-8404-47F9-BB62-0A665287F14A}" srcOrd="4" destOrd="0" parTransId="{DA91C972-B400-4E50-8611-5383F760BB53}" sibTransId="{2087FFE5-1771-494A-9FE6-41666B790C41}"/>
    <dgm:cxn modelId="{446BD14D-93DB-478A-AFE7-4897D59D29E2}" type="presOf" srcId="{6515B524-15AA-4CE7-8755-6E489315F104}" destId="{55C8E5AD-0E30-443C-A7D4-27CC4135A4EB}" srcOrd="0" destOrd="0" presId="urn:microsoft.com/office/officeart/2005/8/layout/vProcess5"/>
    <dgm:cxn modelId="{764FC88D-6FF2-42A9-AC85-D5A69D2AF35D}" type="presOf" srcId="{3AA7B475-AA09-41EC-80BF-8A1F1AAA8CC4}" destId="{1C0E76EB-2E71-42FD-9715-0EC40C77B120}" srcOrd="1" destOrd="0" presId="urn:microsoft.com/office/officeart/2005/8/layout/vProcess5"/>
    <dgm:cxn modelId="{8A350FFD-0839-4FF0-A112-B62DD03701FF}" type="presOf" srcId="{B4252A17-5C1F-4A3A-8FDE-D918697EBAA5}" destId="{35376199-C835-4EDB-81B3-7E4AF99010CD}" srcOrd="0" destOrd="0" presId="urn:microsoft.com/office/officeart/2005/8/layout/vProcess5"/>
    <dgm:cxn modelId="{C22FDA64-FA53-4F5C-86E2-AC63D07B3C6D}" srcId="{946A211C-AC7F-4D93-8A43-5933CAF77589}" destId="{3AA7B475-AA09-41EC-80BF-8A1F1AAA8CC4}" srcOrd="3" destOrd="0" parTransId="{9A694F05-DF6E-4BAE-AC56-9312C1D96FD1}" sibTransId="{23630048-AC20-4F61-8046-33E47A9F19E8}"/>
    <dgm:cxn modelId="{9532E12D-9244-4C90-88F8-BEBF88080AC3}" type="presOf" srcId="{4B68376B-1144-46AE-A69A-7CCEBE3230E7}" destId="{3BC8575B-3978-4157-8160-4506A5D0425D}" srcOrd="0" destOrd="0" presId="urn:microsoft.com/office/officeart/2005/8/layout/vProcess5"/>
    <dgm:cxn modelId="{2884B128-8D8C-4E65-BD91-CC48C587EE26}" type="presOf" srcId="{E0D93982-8404-47F9-BB62-0A665287F14A}" destId="{D3FBBA5B-406D-48A9-BF72-237F56072D38}" srcOrd="0" destOrd="0" presId="urn:microsoft.com/office/officeart/2005/8/layout/vProcess5"/>
    <dgm:cxn modelId="{7DECEC52-BBF4-4FB0-8CB9-F7AECC8B7370}" type="presOf" srcId="{5332A5B5-DAB4-4135-829F-9B33FCAAE72D}" destId="{BDBAC62D-239E-4709-B618-1111D4100391}" srcOrd="1" destOrd="0" presId="urn:microsoft.com/office/officeart/2005/8/layout/vProcess5"/>
    <dgm:cxn modelId="{00785F59-3171-41C4-8491-6DC96FDD1D7C}" type="presOf" srcId="{23630048-AC20-4F61-8046-33E47A9F19E8}" destId="{42EE5668-9C5B-460D-8272-9D6D9D51D4C4}" srcOrd="0" destOrd="0" presId="urn:microsoft.com/office/officeart/2005/8/layout/vProcess5"/>
    <dgm:cxn modelId="{2250ADF9-5EC6-4ADD-8543-9163BFCB5D50}" type="presOf" srcId="{9A3C7DDD-4E73-4F28-83EF-BE32ED4D9587}" destId="{96ABF9DC-D626-4FC6-AFF8-45E237AA0B05}" srcOrd="0" destOrd="0" presId="urn:microsoft.com/office/officeart/2005/8/layout/vProcess5"/>
    <dgm:cxn modelId="{7915B82B-4E26-4432-93B5-F2EED2C60C4F}" type="presOf" srcId="{9A3C7DDD-4E73-4F28-83EF-BE32ED4D9587}" destId="{6F811935-388A-4CFB-80E9-3004063752FE}" srcOrd="1" destOrd="0" presId="urn:microsoft.com/office/officeart/2005/8/layout/vProcess5"/>
    <dgm:cxn modelId="{C8C90EE0-A2AE-4754-B032-30D4F1853BDB}" type="presParOf" srcId="{ADAF3B54-10F5-4693-B7BC-C39CC609294F}" destId="{5F3E8F0D-716E-4F83-9D11-EE71F9928DD8}" srcOrd="0" destOrd="0" presId="urn:microsoft.com/office/officeart/2005/8/layout/vProcess5"/>
    <dgm:cxn modelId="{EB9900CE-F10F-4E18-98FB-A17091E47A25}" type="presParOf" srcId="{ADAF3B54-10F5-4693-B7BC-C39CC609294F}" destId="{96ABF9DC-D626-4FC6-AFF8-45E237AA0B05}" srcOrd="1" destOrd="0" presId="urn:microsoft.com/office/officeart/2005/8/layout/vProcess5"/>
    <dgm:cxn modelId="{1FB72415-4DD6-444F-8AC0-D6907AB40324}" type="presParOf" srcId="{ADAF3B54-10F5-4693-B7BC-C39CC609294F}" destId="{55C8E5AD-0E30-443C-A7D4-27CC4135A4EB}" srcOrd="2" destOrd="0" presId="urn:microsoft.com/office/officeart/2005/8/layout/vProcess5"/>
    <dgm:cxn modelId="{C22A8571-14E5-4A7E-B354-B9F22DBD393A}" type="presParOf" srcId="{ADAF3B54-10F5-4693-B7BC-C39CC609294F}" destId="{5238ACA9-F8EE-473A-AA5C-C6A76E40AD68}" srcOrd="3" destOrd="0" presId="urn:microsoft.com/office/officeart/2005/8/layout/vProcess5"/>
    <dgm:cxn modelId="{551B1E9B-FC6B-46D2-B271-8425465174D7}" type="presParOf" srcId="{ADAF3B54-10F5-4693-B7BC-C39CC609294F}" destId="{A90FAD49-6907-424C-A4F8-B8A5B50DFC83}" srcOrd="4" destOrd="0" presId="urn:microsoft.com/office/officeart/2005/8/layout/vProcess5"/>
    <dgm:cxn modelId="{96C4C560-AE5F-4FC5-B33E-3434EB68BEFB}" type="presParOf" srcId="{ADAF3B54-10F5-4693-B7BC-C39CC609294F}" destId="{D3FBBA5B-406D-48A9-BF72-237F56072D38}" srcOrd="5" destOrd="0" presId="urn:microsoft.com/office/officeart/2005/8/layout/vProcess5"/>
    <dgm:cxn modelId="{F7704C3A-3736-45C9-9476-E64D8C0E05C9}" type="presParOf" srcId="{ADAF3B54-10F5-4693-B7BC-C39CC609294F}" destId="{3BC8575B-3978-4157-8160-4506A5D0425D}" srcOrd="6" destOrd="0" presId="urn:microsoft.com/office/officeart/2005/8/layout/vProcess5"/>
    <dgm:cxn modelId="{E35E5B0D-D70D-48AE-9302-6E083741302C}" type="presParOf" srcId="{ADAF3B54-10F5-4693-B7BC-C39CC609294F}" destId="{35376199-C835-4EDB-81B3-7E4AF99010CD}" srcOrd="7" destOrd="0" presId="urn:microsoft.com/office/officeart/2005/8/layout/vProcess5"/>
    <dgm:cxn modelId="{8869BBA4-DB1B-48C7-9609-92D38ED02476}" type="presParOf" srcId="{ADAF3B54-10F5-4693-B7BC-C39CC609294F}" destId="{F00303F6-F748-462D-B69A-57E868D97144}" srcOrd="8" destOrd="0" presId="urn:microsoft.com/office/officeart/2005/8/layout/vProcess5"/>
    <dgm:cxn modelId="{DD77F012-C0A3-4217-AE14-D47CEC4B873F}" type="presParOf" srcId="{ADAF3B54-10F5-4693-B7BC-C39CC609294F}" destId="{42EE5668-9C5B-460D-8272-9D6D9D51D4C4}" srcOrd="9" destOrd="0" presId="urn:microsoft.com/office/officeart/2005/8/layout/vProcess5"/>
    <dgm:cxn modelId="{691E10A5-F220-4EE1-9265-C9EF7718EB0A}" type="presParOf" srcId="{ADAF3B54-10F5-4693-B7BC-C39CC609294F}" destId="{6F811935-388A-4CFB-80E9-3004063752FE}" srcOrd="10" destOrd="0" presId="urn:microsoft.com/office/officeart/2005/8/layout/vProcess5"/>
    <dgm:cxn modelId="{2E27A2E8-A59E-432E-97EA-FF44356CDC04}" type="presParOf" srcId="{ADAF3B54-10F5-4693-B7BC-C39CC609294F}" destId="{4C0360B1-962E-47BA-B573-8B4563436DAA}" srcOrd="11" destOrd="0" presId="urn:microsoft.com/office/officeart/2005/8/layout/vProcess5"/>
    <dgm:cxn modelId="{7518732B-F2D8-4BDE-A019-96E918497E9E}" type="presParOf" srcId="{ADAF3B54-10F5-4693-B7BC-C39CC609294F}" destId="{BDBAC62D-239E-4709-B618-1111D4100391}" srcOrd="12" destOrd="0" presId="urn:microsoft.com/office/officeart/2005/8/layout/vProcess5"/>
    <dgm:cxn modelId="{DD6DE255-4802-4755-9A9B-C44AFFCB93BA}" type="presParOf" srcId="{ADAF3B54-10F5-4693-B7BC-C39CC609294F}" destId="{1C0E76EB-2E71-42FD-9715-0EC40C77B120}" srcOrd="13" destOrd="0" presId="urn:microsoft.com/office/officeart/2005/8/layout/vProcess5"/>
    <dgm:cxn modelId="{603BD385-BE15-4CFD-94BD-A56BC0E5BB90}" type="presParOf" srcId="{ADAF3B54-10F5-4693-B7BC-C39CC609294F}" destId="{2BE72586-3FB5-4409-A5A1-EBD6B1FBA641}" srcOrd="14" destOrd="0" presId="urn:microsoft.com/office/officeart/2005/8/layout/vProcess5"/>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BF9DC-D626-4FC6-AFF8-45E237AA0B05}">
      <dsp:nvSpPr>
        <dsp:cNvPr id="0" name=""/>
        <dsp:cNvSpPr/>
      </dsp:nvSpPr>
      <dsp:spPr>
        <a:xfrm>
          <a:off x="0" y="8274"/>
          <a:ext cx="4639646" cy="244055"/>
        </a:xfrm>
        <a:prstGeom prst="roundRect">
          <a:avLst>
            <a:gd name="adj" fmla="val 10000"/>
          </a:avLst>
        </a:prstGeom>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chemeClr val="tx1"/>
              </a:solidFill>
              <a:latin typeface="+mj-lt"/>
            </a:rPr>
            <a:t>1. Identify Assessment Team</a:t>
          </a:r>
        </a:p>
      </dsp:txBody>
      <dsp:txXfrm>
        <a:off x="7148" y="15422"/>
        <a:ext cx="4328913" cy="229759"/>
      </dsp:txXfrm>
    </dsp:sp>
    <dsp:sp modelId="{55C8E5AD-0E30-443C-A7D4-27CC4135A4EB}">
      <dsp:nvSpPr>
        <dsp:cNvPr id="0" name=""/>
        <dsp:cNvSpPr/>
      </dsp:nvSpPr>
      <dsp:spPr>
        <a:xfrm>
          <a:off x="346467" y="305073"/>
          <a:ext cx="4639646" cy="244055"/>
        </a:xfrm>
        <a:prstGeom prst="roundRect">
          <a:avLst>
            <a:gd name="adj" fmla="val 10000"/>
          </a:avLst>
        </a:prstGeom>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chemeClr val="tx1"/>
              </a:solidFill>
              <a:latin typeface="+mj-lt"/>
            </a:rPr>
            <a:t>2. Determine Planning Scenario &amp; Assumptions</a:t>
          </a:r>
        </a:p>
      </dsp:txBody>
      <dsp:txXfrm>
        <a:off x="353615" y="312221"/>
        <a:ext cx="4109490" cy="229759"/>
      </dsp:txXfrm>
    </dsp:sp>
    <dsp:sp modelId="{5238ACA9-F8EE-473A-AA5C-C6A76E40AD68}">
      <dsp:nvSpPr>
        <dsp:cNvPr id="0" name=""/>
        <dsp:cNvSpPr/>
      </dsp:nvSpPr>
      <dsp:spPr>
        <a:xfrm>
          <a:off x="692934" y="601872"/>
          <a:ext cx="4639646" cy="244055"/>
        </a:xfrm>
        <a:prstGeom prst="roundRect">
          <a:avLst>
            <a:gd name="adj" fmla="val 10000"/>
          </a:avLst>
        </a:prstGeom>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chemeClr val="tx1"/>
              </a:solidFill>
              <a:latin typeface="+mj-lt"/>
            </a:rPr>
            <a:t>3. Identify Resources Essential to Maintaining Operations</a:t>
          </a:r>
        </a:p>
      </dsp:txBody>
      <dsp:txXfrm>
        <a:off x="700082" y="609020"/>
        <a:ext cx="4109490" cy="229759"/>
      </dsp:txXfrm>
    </dsp:sp>
    <dsp:sp modelId="{A90FAD49-6907-424C-A4F8-B8A5B50DFC83}">
      <dsp:nvSpPr>
        <dsp:cNvPr id="0" name=""/>
        <dsp:cNvSpPr/>
      </dsp:nvSpPr>
      <dsp:spPr>
        <a:xfrm>
          <a:off x="1039401" y="898671"/>
          <a:ext cx="4639646" cy="244055"/>
        </a:xfrm>
        <a:prstGeom prst="roundRect">
          <a:avLst>
            <a:gd name="adj" fmla="val 10000"/>
          </a:avLst>
        </a:prstGeom>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chemeClr val="tx1"/>
              </a:solidFill>
              <a:latin typeface="+mj-lt"/>
            </a:rPr>
            <a:t>4. Assemble Data  </a:t>
          </a:r>
          <a:r>
            <a:rPr lang="en-US" sz="900" b="0" kern="1200">
              <a:ln>
                <a:noFill/>
              </a:ln>
              <a:solidFill>
                <a:schemeClr val="tx1"/>
              </a:solidFill>
              <a:latin typeface="+mj-lt"/>
            </a:rPr>
            <a:t>Avg Daily Census,  Annual Consumption Rates, Inventories</a:t>
          </a:r>
        </a:p>
      </dsp:txBody>
      <dsp:txXfrm>
        <a:off x="1046549" y="905819"/>
        <a:ext cx="4109490" cy="229759"/>
      </dsp:txXfrm>
    </dsp:sp>
    <dsp:sp modelId="{D3FBBA5B-406D-48A9-BF72-237F56072D38}">
      <dsp:nvSpPr>
        <dsp:cNvPr id="0" name=""/>
        <dsp:cNvSpPr/>
      </dsp:nvSpPr>
      <dsp:spPr>
        <a:xfrm>
          <a:off x="1385868" y="1195470"/>
          <a:ext cx="4639646" cy="244055"/>
        </a:xfrm>
        <a:prstGeom prst="roundRect">
          <a:avLst>
            <a:gd name="adj" fmla="val 10000"/>
          </a:avLst>
        </a:prstGeom>
        <a:gradFill flip="none" rotWithShape="0">
          <a:gsLst>
            <a:gs pos="10000">
              <a:schemeClr val="bg1">
                <a:lumMod val="85000"/>
                <a:alpha val="50000"/>
              </a:schemeClr>
            </a:gs>
            <a:gs pos="58000">
              <a:schemeClr val="bg1">
                <a:lumMod val="95000"/>
                <a:alpha val="40000"/>
              </a:schemeClr>
            </a:gs>
            <a:gs pos="42000">
              <a:schemeClr val="bg1">
                <a:lumMod val="95000"/>
                <a:alpha val="40000"/>
              </a:schemeClr>
            </a:gs>
            <a:gs pos="70000">
              <a:schemeClr val="bg1">
                <a:lumMod val="95000"/>
              </a:schemeClr>
            </a:gs>
            <a:gs pos="30000">
              <a:schemeClr val="bg1">
                <a:lumMod val="95000"/>
              </a:schemeClr>
            </a:gs>
            <a:gs pos="90000">
              <a:schemeClr val="bg1">
                <a:lumMod val="85000"/>
                <a:alpha val="50000"/>
              </a:schemeClr>
            </a:gs>
          </a:gsLst>
          <a:lin ang="16200000" scaled="1"/>
          <a:tileRect/>
        </a:gradFill>
        <a:ln w="9525"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chemeClr val="tx1"/>
              </a:solidFill>
              <a:latin typeface="+mj-lt"/>
            </a:rPr>
            <a:t>5. Identify Dependent Systems &amp; Mitigation Strategies </a:t>
          </a:r>
        </a:p>
      </dsp:txBody>
      <dsp:txXfrm>
        <a:off x="1393016" y="1202618"/>
        <a:ext cx="4109490" cy="229759"/>
      </dsp:txXfrm>
    </dsp:sp>
    <dsp:sp modelId="{3BC8575B-3978-4157-8160-4506A5D0425D}">
      <dsp:nvSpPr>
        <dsp:cNvPr id="0" name=""/>
        <dsp:cNvSpPr/>
      </dsp:nvSpPr>
      <dsp:spPr>
        <a:xfrm>
          <a:off x="4470253" y="190385"/>
          <a:ext cx="169392" cy="169392"/>
        </a:xfrm>
        <a:prstGeom prst="downArrow">
          <a:avLst>
            <a:gd name="adj1" fmla="val 55000"/>
            <a:gd name="adj2" fmla="val 45000"/>
          </a:avLst>
        </a:prstGeom>
        <a:solidFill>
          <a:schemeClr val="accent2">
            <a:lumMod val="50000"/>
          </a:schemeClr>
        </a:solidFill>
        <a:ln w="12700" cap="flat" cmpd="sng" algn="ctr">
          <a:solidFill>
            <a:schemeClr val="accent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4508366" y="190385"/>
        <a:ext cx="93166" cy="127467"/>
      </dsp:txXfrm>
    </dsp:sp>
    <dsp:sp modelId="{35376199-C835-4EDB-81B3-7E4AF99010CD}">
      <dsp:nvSpPr>
        <dsp:cNvPr id="0" name=""/>
        <dsp:cNvSpPr/>
      </dsp:nvSpPr>
      <dsp:spPr>
        <a:xfrm>
          <a:off x="4816721" y="487184"/>
          <a:ext cx="169392" cy="169392"/>
        </a:xfrm>
        <a:prstGeom prst="downArrow">
          <a:avLst>
            <a:gd name="adj1" fmla="val 55000"/>
            <a:gd name="adj2" fmla="val 45000"/>
          </a:avLst>
        </a:prstGeom>
        <a:solidFill>
          <a:schemeClr val="accent2">
            <a:lumMod val="50000"/>
          </a:schemeClr>
        </a:solidFill>
        <a:ln w="12700" cap="flat" cmpd="sng" algn="ctr">
          <a:solidFill>
            <a:schemeClr val="accent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4854834" y="487184"/>
        <a:ext cx="93166" cy="127467"/>
      </dsp:txXfrm>
    </dsp:sp>
    <dsp:sp modelId="{F00303F6-F748-462D-B69A-57E868D97144}">
      <dsp:nvSpPr>
        <dsp:cNvPr id="0" name=""/>
        <dsp:cNvSpPr/>
      </dsp:nvSpPr>
      <dsp:spPr>
        <a:xfrm>
          <a:off x="5163188" y="779640"/>
          <a:ext cx="169392" cy="169392"/>
        </a:xfrm>
        <a:prstGeom prst="downArrow">
          <a:avLst>
            <a:gd name="adj1" fmla="val 55000"/>
            <a:gd name="adj2" fmla="val 45000"/>
          </a:avLst>
        </a:prstGeom>
        <a:solidFill>
          <a:schemeClr val="accent2">
            <a:lumMod val="50000"/>
          </a:schemeClr>
        </a:solidFill>
        <a:ln w="12700" cap="flat" cmpd="sng" algn="ctr">
          <a:solidFill>
            <a:schemeClr val="accent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5201301" y="779640"/>
        <a:ext cx="93166" cy="127467"/>
      </dsp:txXfrm>
    </dsp:sp>
    <dsp:sp modelId="{42EE5668-9C5B-460D-8272-9D6D9D51D4C4}">
      <dsp:nvSpPr>
        <dsp:cNvPr id="0" name=""/>
        <dsp:cNvSpPr/>
      </dsp:nvSpPr>
      <dsp:spPr>
        <a:xfrm>
          <a:off x="5496690" y="1083541"/>
          <a:ext cx="170837" cy="170837"/>
        </a:xfrm>
        <a:prstGeom prst="downArrow">
          <a:avLst>
            <a:gd name="adj1" fmla="val 55000"/>
            <a:gd name="adj2" fmla="val 45000"/>
          </a:avLst>
        </a:prstGeom>
        <a:solidFill>
          <a:schemeClr val="accent2">
            <a:lumMod val="50000"/>
          </a:schemeClr>
        </a:solidFill>
        <a:ln w="12700" cap="flat" cmpd="sng" algn="ctr">
          <a:solidFill>
            <a:schemeClr val="accent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5535128" y="1083541"/>
        <a:ext cx="93961" cy="1285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BF9DC-D626-4FC6-AFF8-45E237AA0B05}">
      <dsp:nvSpPr>
        <dsp:cNvPr id="0" name=""/>
        <dsp:cNvSpPr/>
      </dsp:nvSpPr>
      <dsp:spPr>
        <a:xfrm>
          <a:off x="0" y="-3538"/>
          <a:ext cx="4639646" cy="298541"/>
        </a:xfrm>
        <a:prstGeom prst="roundRect">
          <a:avLst>
            <a:gd name="adj" fmla="val 10000"/>
          </a:avLst>
        </a:prstGeo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3175" cap="flat" cmpd="sng" algn="ctr">
          <a:solidFill>
            <a:sysClr val="window" lastClr="FFFFFF">
              <a:lumMod val="75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ysClr val="windowText" lastClr="000000"/>
              </a:solidFill>
              <a:latin typeface="Cambria" panose="02040503050406030204"/>
              <a:ea typeface="+mn-ea"/>
              <a:cs typeface="+mn-cs"/>
            </a:rPr>
            <a:t>1. Establish Planning Assumptions</a:t>
          </a:r>
        </a:p>
      </dsp:txBody>
      <dsp:txXfrm>
        <a:off x="8744" y="5206"/>
        <a:ext cx="4290617" cy="281053"/>
      </dsp:txXfrm>
    </dsp:sp>
    <dsp:sp modelId="{55C8E5AD-0E30-443C-A7D4-27CC4135A4EB}">
      <dsp:nvSpPr>
        <dsp:cNvPr id="0" name=""/>
        <dsp:cNvSpPr/>
      </dsp:nvSpPr>
      <dsp:spPr>
        <a:xfrm>
          <a:off x="346467" y="328407"/>
          <a:ext cx="4639646" cy="298541"/>
        </a:xfrm>
        <a:prstGeom prst="roundRect">
          <a:avLst>
            <a:gd name="adj" fmla="val 10000"/>
          </a:avLst>
        </a:prstGeo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635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ysClr val="windowText" lastClr="000000"/>
              </a:solidFill>
              <a:latin typeface="Cambria" panose="02040503050406030204"/>
              <a:ea typeface="+mn-ea"/>
              <a:cs typeface="+mn-cs"/>
            </a:rPr>
            <a:t>2. Determine Resources Essential to the Faciliy's Operation</a:t>
          </a:r>
        </a:p>
      </dsp:txBody>
      <dsp:txXfrm>
        <a:off x="355211" y="337151"/>
        <a:ext cx="4086239" cy="281053"/>
      </dsp:txXfrm>
    </dsp:sp>
    <dsp:sp modelId="{5238ACA9-F8EE-473A-AA5C-C6A76E40AD68}">
      <dsp:nvSpPr>
        <dsp:cNvPr id="0" name=""/>
        <dsp:cNvSpPr/>
      </dsp:nvSpPr>
      <dsp:spPr>
        <a:xfrm>
          <a:off x="692934" y="660354"/>
          <a:ext cx="4639646" cy="298541"/>
        </a:xfrm>
        <a:prstGeom prst="roundRect">
          <a:avLst>
            <a:gd name="adj" fmla="val 10000"/>
          </a:avLst>
        </a:prstGeo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3175" cap="flat" cmpd="sng" algn="ctr">
          <a:solidFill>
            <a:sysClr val="window" lastClr="FFFFFF">
              <a:lumMod val="75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ysClr val="windowText" lastClr="000000"/>
              </a:solidFill>
              <a:latin typeface="Cambria" panose="02040503050406030204"/>
              <a:ea typeface="+mn-ea"/>
              <a:cs typeface="+mn-cs"/>
            </a:rPr>
            <a:t>3. Determine Sustainability Period of Resources</a:t>
          </a:r>
        </a:p>
      </dsp:txBody>
      <dsp:txXfrm>
        <a:off x="701678" y="669098"/>
        <a:ext cx="4086239" cy="281053"/>
      </dsp:txXfrm>
    </dsp:sp>
    <dsp:sp modelId="{A90FAD49-6907-424C-A4F8-B8A5B50DFC83}">
      <dsp:nvSpPr>
        <dsp:cNvPr id="0" name=""/>
        <dsp:cNvSpPr/>
      </dsp:nvSpPr>
      <dsp:spPr>
        <a:xfrm>
          <a:off x="1039401" y="992300"/>
          <a:ext cx="4639646" cy="298541"/>
        </a:xfrm>
        <a:prstGeom prst="roundRect">
          <a:avLst>
            <a:gd name="adj" fmla="val 10000"/>
          </a:avLst>
        </a:prstGeo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3175" cap="flat" cmpd="sng" algn="ctr">
          <a:solidFill>
            <a:sysClr val="window" lastClr="FFFFFF">
              <a:lumMod val="75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ysClr val="windowText" lastClr="000000"/>
              </a:solidFill>
              <a:latin typeface="Cambria" panose="02040503050406030204"/>
              <a:ea typeface="+mn-ea"/>
              <a:cs typeface="+mn-cs"/>
            </a:rPr>
            <a:t>4. Color Code 96 Hour Operational Chart</a:t>
          </a:r>
        </a:p>
      </dsp:txBody>
      <dsp:txXfrm>
        <a:off x="1048145" y="1001044"/>
        <a:ext cx="4086239" cy="281053"/>
      </dsp:txXfrm>
    </dsp:sp>
    <dsp:sp modelId="{D3FBBA5B-406D-48A9-BF72-237F56072D38}">
      <dsp:nvSpPr>
        <dsp:cNvPr id="0" name=""/>
        <dsp:cNvSpPr/>
      </dsp:nvSpPr>
      <dsp:spPr>
        <a:xfrm>
          <a:off x="1385868" y="1324246"/>
          <a:ext cx="4639646" cy="298541"/>
        </a:xfrm>
        <a:prstGeom prst="roundRect">
          <a:avLst>
            <a:gd name="adj" fmla="val 10000"/>
          </a:avLst>
        </a:prstGeom>
        <a:gradFill flip="none" rotWithShape="0">
          <a:gsLst>
            <a:gs pos="10000">
              <a:sysClr val="window" lastClr="FFFFFF">
                <a:lumMod val="85000"/>
                <a:alpha val="50000"/>
              </a:sysClr>
            </a:gs>
            <a:gs pos="58000">
              <a:sysClr val="window" lastClr="FFFFFF">
                <a:lumMod val="95000"/>
                <a:alpha val="40000"/>
              </a:sysClr>
            </a:gs>
            <a:gs pos="42000">
              <a:sysClr val="window" lastClr="FFFFFF">
                <a:lumMod val="95000"/>
                <a:alpha val="40000"/>
              </a:sysClr>
            </a:gs>
            <a:gs pos="70000">
              <a:sysClr val="window" lastClr="FFFFFF">
                <a:lumMod val="95000"/>
              </a:sysClr>
            </a:gs>
            <a:gs pos="30000">
              <a:sysClr val="window" lastClr="FFFFFF">
                <a:lumMod val="95000"/>
              </a:sysClr>
            </a:gs>
            <a:gs pos="90000">
              <a:sysClr val="window" lastClr="FFFFFF">
                <a:lumMod val="85000"/>
                <a:alpha val="50000"/>
              </a:sysClr>
            </a:gs>
          </a:gsLst>
          <a:lin ang="16200000" scaled="1"/>
          <a:tileRect/>
        </a:gradFill>
        <a:ln w="3175" cap="flat" cmpd="sng" algn="ctr">
          <a:solidFill>
            <a:sysClr val="window" lastClr="FFFFFF">
              <a:lumMod val="75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38100" rIns="0" bIns="38100" numCol="1" spcCol="1270" anchor="ctr" anchorCtr="0">
          <a:noAutofit/>
        </a:bodyPr>
        <a:lstStyle/>
        <a:p>
          <a:pPr lvl="0" algn="l" defTabSz="444500">
            <a:lnSpc>
              <a:spcPct val="90000"/>
            </a:lnSpc>
            <a:spcBef>
              <a:spcPct val="0"/>
            </a:spcBef>
            <a:spcAft>
              <a:spcPct val="35000"/>
            </a:spcAft>
          </a:pPr>
          <a:r>
            <a:rPr lang="en-US" sz="1000" b="1" kern="1200">
              <a:ln>
                <a:noFill/>
              </a:ln>
              <a:solidFill>
                <a:sysClr val="windowText" lastClr="000000"/>
              </a:solidFill>
              <a:latin typeface="Cambria" panose="02040503050406030204"/>
              <a:ea typeface="+mn-ea"/>
              <a:cs typeface="+mn-cs"/>
            </a:rPr>
            <a:t>5. Identify Sustainability Gaps &amp; Mitigation Strategies </a:t>
          </a:r>
        </a:p>
      </dsp:txBody>
      <dsp:txXfrm>
        <a:off x="1394612" y="1332990"/>
        <a:ext cx="4086239" cy="281053"/>
      </dsp:txXfrm>
    </dsp:sp>
    <dsp:sp modelId="{3BC8575B-3978-4157-8160-4506A5D0425D}">
      <dsp:nvSpPr>
        <dsp:cNvPr id="0" name=""/>
        <dsp:cNvSpPr/>
      </dsp:nvSpPr>
      <dsp:spPr>
        <a:xfrm>
          <a:off x="4450194" y="212931"/>
          <a:ext cx="189452" cy="189452"/>
        </a:xfrm>
        <a:prstGeom prst="downArrow">
          <a:avLst>
            <a:gd name="adj1" fmla="val 55000"/>
            <a:gd name="adj2" fmla="val 45000"/>
          </a:avLst>
        </a:prstGeom>
        <a:solidFill>
          <a:srgbClr val="C0504D">
            <a:lumMod val="50000"/>
          </a:srgbClr>
        </a:solidFill>
        <a:ln w="12700" cap="flat" cmpd="sng" algn="ctr">
          <a:solidFill>
            <a:srgbClr val="C0504D">
              <a:lumMod val="5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4492821" y="212931"/>
        <a:ext cx="104198" cy="142563"/>
      </dsp:txXfrm>
    </dsp:sp>
    <dsp:sp modelId="{35376199-C835-4EDB-81B3-7E4AF99010CD}">
      <dsp:nvSpPr>
        <dsp:cNvPr id="0" name=""/>
        <dsp:cNvSpPr/>
      </dsp:nvSpPr>
      <dsp:spPr>
        <a:xfrm>
          <a:off x="4796661" y="544877"/>
          <a:ext cx="189452" cy="189452"/>
        </a:xfrm>
        <a:prstGeom prst="downArrow">
          <a:avLst>
            <a:gd name="adj1" fmla="val 55000"/>
            <a:gd name="adj2" fmla="val 45000"/>
          </a:avLst>
        </a:prstGeom>
        <a:solidFill>
          <a:schemeClr val="accent2">
            <a:lumMod val="50000"/>
            <a:alpha val="90000"/>
          </a:schemeClr>
        </a:solidFill>
        <a:ln w="12700" cap="flat" cmpd="sng" algn="ctr">
          <a:solidFill>
            <a:schemeClr val="accent2">
              <a:lumMod val="5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4839288" y="544877"/>
        <a:ext cx="104198" cy="142563"/>
      </dsp:txXfrm>
    </dsp:sp>
    <dsp:sp modelId="{F00303F6-F748-462D-B69A-57E868D97144}">
      <dsp:nvSpPr>
        <dsp:cNvPr id="0" name=""/>
        <dsp:cNvSpPr/>
      </dsp:nvSpPr>
      <dsp:spPr>
        <a:xfrm>
          <a:off x="5143128" y="871966"/>
          <a:ext cx="189452" cy="189452"/>
        </a:xfrm>
        <a:prstGeom prst="downArrow">
          <a:avLst>
            <a:gd name="adj1" fmla="val 55000"/>
            <a:gd name="adj2" fmla="val 45000"/>
          </a:avLst>
        </a:prstGeom>
        <a:solidFill>
          <a:srgbClr val="C0504D">
            <a:lumMod val="50000"/>
          </a:srgbClr>
        </a:solidFill>
        <a:ln w="12700" cap="flat" cmpd="sng" algn="ctr">
          <a:solidFill>
            <a:srgbClr val="C0504D">
              <a:lumMod val="5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5185755" y="871966"/>
        <a:ext cx="104198" cy="142563"/>
      </dsp:txXfrm>
    </dsp:sp>
    <dsp:sp modelId="{42EE5668-9C5B-460D-8272-9D6D9D51D4C4}">
      <dsp:nvSpPr>
        <dsp:cNvPr id="0" name=""/>
        <dsp:cNvSpPr/>
      </dsp:nvSpPr>
      <dsp:spPr>
        <a:xfrm>
          <a:off x="5475095" y="1211855"/>
          <a:ext cx="191068" cy="191068"/>
        </a:xfrm>
        <a:prstGeom prst="downArrow">
          <a:avLst>
            <a:gd name="adj1" fmla="val 55000"/>
            <a:gd name="adj2" fmla="val 45000"/>
          </a:avLst>
        </a:prstGeom>
        <a:solidFill>
          <a:srgbClr val="C0504D">
            <a:lumMod val="50000"/>
          </a:srgbClr>
        </a:solidFill>
        <a:ln w="12700" cap="flat" cmpd="sng" algn="ctr">
          <a:solidFill>
            <a:srgbClr val="C0504D">
              <a:lumMod val="5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5518085" y="1211855"/>
        <a:ext cx="105088" cy="14377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chemeClr val="accent1">
              <a:lumMod val="60000"/>
              <a:lumOff val="40000"/>
            </a:schemeClr>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40A78-EC34-418B-BAD6-F57E3310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8</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Jewett</dc:creator>
  <cp:lastModifiedBy>Card,Amy</cp:lastModifiedBy>
  <cp:revision>2</cp:revision>
  <cp:lastPrinted>2018-06-12T11:43:00Z</cp:lastPrinted>
  <dcterms:created xsi:type="dcterms:W3CDTF">2019-12-31T16:20:00Z</dcterms:created>
  <dcterms:modified xsi:type="dcterms:W3CDTF">2019-12-31T16:20:00Z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